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18" w:type="dxa"/>
        <w:tblInd w:w="93" w:type="dxa"/>
        <w:tblBorders>
          <w:top w:val="nil"/>
          <w:left w:val="nil"/>
          <w:bottom w:val="nil"/>
          <w:right w:val="nil"/>
        </w:tblBorders>
        <w:tblCellMar>
          <w:left w:w="0" w:type="dxa"/>
          <w:right w:w="0" w:type="dxa"/>
        </w:tblCellMar>
        <w:tblLook w:val="04A0"/>
      </w:tblPr>
      <w:tblGrid>
        <w:gridCol w:w="5402"/>
        <w:gridCol w:w="222"/>
        <w:gridCol w:w="1365"/>
        <w:gridCol w:w="2729"/>
      </w:tblGrid>
      <w:tr w:rsidR="0058289F">
        <w:trPr>
          <w:trHeight w:val="270"/>
        </w:trPr>
        <w:tc>
          <w:tcPr>
            <w:tcW w:w="5402" w:type="dxa"/>
            <w:noWrap/>
            <w:tcMar>
              <w:top w:w="0" w:type="dxa"/>
              <w:left w:w="108" w:type="dxa"/>
              <w:bottom w:w="0" w:type="dxa"/>
              <w:right w:w="108" w:type="dxa"/>
            </w:tcMar>
            <w:vAlign w:val="bottom"/>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b/>
                <w:sz w:val="20"/>
                <w:szCs w:val="20"/>
              </w:rPr>
              <w:t>ПОЯСНИТЕЛЬНАЯ ЗАПИСКА</w:t>
            </w:r>
          </w:p>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b/>
                <w:sz w:val="20"/>
                <w:szCs w:val="20"/>
              </w:rPr>
              <w:t>К БАЛАНСУ УЧРЕЖДЕНИЯ</w:t>
            </w:r>
          </w:p>
        </w:tc>
        <w:tc>
          <w:tcPr>
            <w:tcW w:w="222" w:type="dxa"/>
            <w:noWrap/>
            <w:tcMar>
              <w:top w:w="0" w:type="dxa"/>
              <w:left w:w="108" w:type="dxa"/>
              <w:bottom w:w="0" w:type="dxa"/>
              <w:right w:w="108" w:type="dxa"/>
            </w:tcMar>
            <w:vAlign w:val="bottom"/>
            <w:hideMark/>
          </w:tcPr>
          <w:p w:rsidR="0058289F" w:rsidRDefault="0058289F">
            <w:pPr>
              <w:rPr>
                <w:sz w:val="24"/>
              </w:rPr>
            </w:pPr>
          </w:p>
        </w:tc>
        <w:tc>
          <w:tcPr>
            <w:tcW w:w="1365" w:type="dxa"/>
            <w:noWrap/>
            <w:tcMar>
              <w:top w:w="0" w:type="dxa"/>
              <w:left w:w="108" w:type="dxa"/>
              <w:bottom w:w="0" w:type="dxa"/>
              <w:right w:w="108" w:type="dxa"/>
            </w:tcMar>
            <w:vAlign w:val="bottom"/>
            <w:hideMark/>
          </w:tcPr>
          <w:p w:rsidR="0058289F" w:rsidRDefault="0058289F">
            <w:pPr>
              <w:rPr>
                <w:sz w:val="24"/>
              </w:rPr>
            </w:pPr>
          </w:p>
        </w:tc>
        <w:tc>
          <w:tcPr>
            <w:tcW w:w="2729" w:type="dxa"/>
            <w:noWrap/>
            <w:tcMar>
              <w:top w:w="0" w:type="dxa"/>
              <w:left w:w="108" w:type="dxa"/>
              <w:bottom w:w="0" w:type="dxa"/>
              <w:right w:w="108" w:type="dxa"/>
            </w:tcMar>
            <w:vAlign w:val="bottom"/>
            <w:hideMark/>
          </w:tcPr>
          <w:p w:rsidR="0058289F" w:rsidRDefault="0058289F">
            <w:pPr>
              <w:rPr>
                <w:sz w:val="24"/>
              </w:rPr>
            </w:pPr>
          </w:p>
        </w:tc>
      </w:tr>
      <w:tr w:rsidR="0058289F">
        <w:trPr>
          <w:trHeight w:val="255"/>
        </w:trPr>
        <w:tc>
          <w:tcPr>
            <w:tcW w:w="5402" w:type="dxa"/>
            <w:noWrap/>
            <w:tcMar>
              <w:top w:w="0" w:type="dxa"/>
              <w:left w:w="108" w:type="dxa"/>
              <w:bottom w:w="0" w:type="dxa"/>
              <w:right w:w="108" w:type="dxa"/>
            </w:tcMar>
            <w:vAlign w:val="bottom"/>
            <w:hideMark/>
          </w:tcPr>
          <w:p w:rsidR="0058289F" w:rsidRDefault="0058289F">
            <w:pPr>
              <w:rPr>
                <w:sz w:val="24"/>
              </w:rPr>
            </w:pPr>
          </w:p>
        </w:tc>
        <w:tc>
          <w:tcPr>
            <w:tcW w:w="222" w:type="dxa"/>
            <w:noWrap/>
            <w:tcMar>
              <w:top w:w="0" w:type="dxa"/>
              <w:left w:w="108" w:type="dxa"/>
              <w:bottom w:w="0" w:type="dxa"/>
              <w:right w:w="108" w:type="dxa"/>
            </w:tcMar>
            <w:vAlign w:val="bottom"/>
            <w:hideMark/>
          </w:tcPr>
          <w:p w:rsidR="0058289F" w:rsidRDefault="0058289F">
            <w:pPr>
              <w:rPr>
                <w:sz w:val="24"/>
              </w:rPr>
            </w:pPr>
          </w:p>
        </w:tc>
        <w:tc>
          <w:tcPr>
            <w:tcW w:w="1365" w:type="dxa"/>
            <w:noWrap/>
            <w:tcMar>
              <w:top w:w="0" w:type="dxa"/>
              <w:left w:w="108" w:type="dxa"/>
              <w:bottom w:w="0" w:type="dxa"/>
              <w:right w:w="108" w:type="dxa"/>
            </w:tcMar>
            <w:vAlign w:val="bottom"/>
            <w:hideMark/>
          </w:tcPr>
          <w:p w:rsidR="0058289F" w:rsidRDefault="0058289F">
            <w:pPr>
              <w:rPr>
                <w:sz w:val="24"/>
              </w:rPr>
            </w:pPr>
          </w:p>
        </w:tc>
        <w:tc>
          <w:tcPr>
            <w:tcW w:w="272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КОДЫ</w:t>
            </w:r>
          </w:p>
        </w:tc>
      </w:tr>
      <w:tr w:rsidR="0058289F">
        <w:trPr>
          <w:trHeight w:val="210"/>
        </w:trPr>
        <w:tc>
          <w:tcPr>
            <w:tcW w:w="5402" w:type="dxa"/>
            <w:noWrap/>
            <w:tcMar>
              <w:top w:w="0" w:type="dxa"/>
              <w:left w:w="108" w:type="dxa"/>
              <w:bottom w:w="0" w:type="dxa"/>
              <w:right w:w="108" w:type="dxa"/>
            </w:tcMar>
            <w:vAlign w:val="bottom"/>
            <w:hideMark/>
          </w:tcPr>
          <w:p w:rsidR="0058289F" w:rsidRDefault="0058289F">
            <w:pPr>
              <w:rPr>
                <w:sz w:val="20"/>
              </w:rPr>
            </w:pPr>
          </w:p>
        </w:tc>
        <w:tc>
          <w:tcPr>
            <w:tcW w:w="1587" w:type="dxa"/>
            <w:gridSpan w:val="2"/>
            <w:noWrap/>
            <w:tcMar>
              <w:top w:w="0" w:type="dxa"/>
              <w:left w:w="108" w:type="dxa"/>
              <w:bottom w:w="0" w:type="dxa"/>
              <w:right w:w="108" w:type="dxa"/>
            </w:tcMar>
            <w:vAlign w:val="bottom"/>
            <w:hideMark/>
          </w:tcPr>
          <w:p w:rsidR="0058289F" w:rsidRDefault="000E21EF">
            <w:pPr>
              <w:jc w:val="right"/>
              <w:rPr>
                <w:rFonts w:ascii="Times New Roman" w:eastAsia="Times New Roman" w:hAnsi="Times New Roman" w:cs="Times New Roman"/>
                <w:sz w:val="24"/>
              </w:rPr>
            </w:pPr>
            <w:r>
              <w:rPr>
                <w:rFonts w:ascii="Times New Roman" w:eastAsia="Times New Roman" w:hAnsi="Times New Roman" w:cs="Times New Roman"/>
                <w:sz w:val="16"/>
                <w:szCs w:val="16"/>
              </w:rPr>
              <w:t>Форма по ОКУД</w:t>
            </w: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58289F" w:rsidRDefault="000E21EF">
            <w:pPr>
              <w:spacing w:line="210"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0503760</w:t>
            </w:r>
          </w:p>
        </w:tc>
      </w:tr>
      <w:tr w:rsidR="0058289F">
        <w:trPr>
          <w:trHeight w:val="320"/>
        </w:trPr>
        <w:tc>
          <w:tcPr>
            <w:tcW w:w="5624" w:type="dxa"/>
            <w:gridSpan w:val="2"/>
            <w:noWrap/>
            <w:tcMar>
              <w:top w:w="0" w:type="dxa"/>
              <w:left w:w="108" w:type="dxa"/>
              <w:bottom w:w="0" w:type="dxa"/>
              <w:right w:w="108" w:type="dxa"/>
            </w:tcMar>
            <w:vAlign w:val="bottom"/>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8"/>
                <w:szCs w:val="18"/>
              </w:rPr>
              <w:t>                          на   1 января 2026 г.</w:t>
            </w:r>
          </w:p>
        </w:tc>
        <w:tc>
          <w:tcPr>
            <w:tcW w:w="1365" w:type="dxa"/>
            <w:noWrap/>
            <w:tcMar>
              <w:top w:w="0" w:type="dxa"/>
              <w:left w:w="108" w:type="dxa"/>
              <w:bottom w:w="0" w:type="dxa"/>
              <w:right w:w="108" w:type="dxa"/>
            </w:tcMar>
            <w:vAlign w:val="bottom"/>
            <w:hideMark/>
          </w:tcPr>
          <w:p w:rsidR="0058289F" w:rsidRDefault="000E21EF">
            <w:pPr>
              <w:jc w:val="right"/>
              <w:rPr>
                <w:rFonts w:ascii="Times New Roman" w:eastAsia="Times New Roman" w:hAnsi="Times New Roman" w:cs="Times New Roman"/>
                <w:sz w:val="24"/>
              </w:rPr>
            </w:pPr>
            <w:r>
              <w:rPr>
                <w:rFonts w:ascii="Times New Roman" w:eastAsia="Times New Roman" w:hAnsi="Times New Roman" w:cs="Times New Roman"/>
                <w:sz w:val="16"/>
                <w:szCs w:val="16"/>
              </w:rPr>
              <w:t> Дата</w:t>
            </w:r>
          </w:p>
        </w:tc>
        <w:tc>
          <w:tcPr>
            <w:tcW w:w="2729"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01.01.2026</w:t>
            </w:r>
          </w:p>
        </w:tc>
      </w:tr>
      <w:tr w:rsidR="0058289F">
        <w:trPr>
          <w:trHeight w:val="282"/>
        </w:trPr>
        <w:tc>
          <w:tcPr>
            <w:tcW w:w="5402" w:type="dxa"/>
            <w:noWrap/>
            <w:tcMar>
              <w:top w:w="0" w:type="dxa"/>
              <w:left w:w="108" w:type="dxa"/>
              <w:bottom w:w="0" w:type="dxa"/>
              <w:right w:w="108" w:type="dxa"/>
            </w:tcMar>
            <w:vAlign w:val="bottom"/>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 xml:space="preserve">Учреждение   </w:t>
            </w:r>
            <w:r>
              <w:rPr>
                <w:rFonts w:ascii="Times New Roman" w:eastAsia="Times New Roman" w:hAnsi="Times New Roman" w:cs="Times New Roman"/>
                <w:sz w:val="16"/>
                <w:szCs w:val="16"/>
                <w:u w:val="single"/>
              </w:rPr>
              <w:t>Департамент финансов Администрации г. Саров</w:t>
            </w:r>
          </w:p>
        </w:tc>
        <w:tc>
          <w:tcPr>
            <w:tcW w:w="222" w:type="dxa"/>
            <w:noWrap/>
            <w:tcMar>
              <w:top w:w="0" w:type="dxa"/>
              <w:left w:w="108" w:type="dxa"/>
              <w:bottom w:w="0" w:type="dxa"/>
              <w:right w:w="108" w:type="dxa"/>
            </w:tcMar>
            <w:vAlign w:val="bottom"/>
            <w:hideMark/>
          </w:tcPr>
          <w:p w:rsidR="0058289F" w:rsidRDefault="0058289F">
            <w:pPr>
              <w:rPr>
                <w:sz w:val="24"/>
              </w:rPr>
            </w:pPr>
          </w:p>
        </w:tc>
        <w:tc>
          <w:tcPr>
            <w:tcW w:w="1365" w:type="dxa"/>
            <w:noWrap/>
            <w:tcMar>
              <w:top w:w="0" w:type="dxa"/>
              <w:left w:w="108" w:type="dxa"/>
              <w:bottom w:w="0" w:type="dxa"/>
              <w:right w:w="108" w:type="dxa"/>
            </w:tcMar>
            <w:vAlign w:val="bottom"/>
            <w:hideMark/>
          </w:tcPr>
          <w:p w:rsidR="0058289F" w:rsidRDefault="000E21EF">
            <w:pPr>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по ОКПО  </w:t>
            </w:r>
          </w:p>
        </w:tc>
        <w:tc>
          <w:tcPr>
            <w:tcW w:w="272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79664695</w:t>
            </w:r>
          </w:p>
        </w:tc>
      </w:tr>
      <w:tr w:rsidR="0058289F">
        <w:trPr>
          <w:trHeight w:val="195"/>
        </w:trPr>
        <w:tc>
          <w:tcPr>
            <w:tcW w:w="5402" w:type="dxa"/>
            <w:noWrap/>
            <w:tcMar>
              <w:top w:w="0" w:type="dxa"/>
              <w:left w:w="108" w:type="dxa"/>
              <w:bottom w:w="0" w:type="dxa"/>
              <w:right w:w="108" w:type="dxa"/>
            </w:tcMar>
            <w:vAlign w:val="bottom"/>
            <w:hideMark/>
          </w:tcPr>
          <w:p w:rsidR="0058289F" w:rsidRDefault="000E21EF">
            <w:pPr>
              <w:spacing w:line="195" w:lineRule="atLeast"/>
              <w:rPr>
                <w:rFonts w:ascii="Times New Roman" w:eastAsia="Times New Roman" w:hAnsi="Times New Roman" w:cs="Times New Roman"/>
                <w:sz w:val="24"/>
              </w:rPr>
            </w:pPr>
            <w:r>
              <w:rPr>
                <w:rFonts w:ascii="Times New Roman" w:eastAsia="Times New Roman" w:hAnsi="Times New Roman" w:cs="Times New Roman"/>
                <w:sz w:val="16"/>
                <w:szCs w:val="16"/>
              </w:rPr>
              <w:t xml:space="preserve">Обособленное подразделение  </w:t>
            </w:r>
          </w:p>
        </w:tc>
        <w:tc>
          <w:tcPr>
            <w:tcW w:w="222" w:type="dxa"/>
            <w:noWrap/>
            <w:tcMar>
              <w:top w:w="0" w:type="dxa"/>
              <w:left w:w="108" w:type="dxa"/>
              <w:bottom w:w="0" w:type="dxa"/>
              <w:right w:w="108" w:type="dxa"/>
            </w:tcMar>
            <w:vAlign w:val="bottom"/>
            <w:hideMark/>
          </w:tcPr>
          <w:p w:rsidR="0058289F" w:rsidRDefault="0058289F">
            <w:pPr>
              <w:rPr>
                <w:sz w:val="20"/>
              </w:rPr>
            </w:pPr>
          </w:p>
        </w:tc>
        <w:tc>
          <w:tcPr>
            <w:tcW w:w="1365" w:type="dxa"/>
            <w:noWrap/>
            <w:tcMar>
              <w:top w:w="0" w:type="dxa"/>
              <w:left w:w="108" w:type="dxa"/>
              <w:bottom w:w="0" w:type="dxa"/>
              <w:right w:w="108" w:type="dxa"/>
            </w:tcMar>
            <w:vAlign w:val="bottom"/>
            <w:hideMark/>
          </w:tcPr>
          <w:p w:rsidR="0058289F" w:rsidRDefault="0058289F">
            <w:pPr>
              <w:rPr>
                <w:sz w:val="20"/>
              </w:rPr>
            </w:pP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58289F" w:rsidRDefault="0058289F">
            <w:pPr>
              <w:rPr>
                <w:sz w:val="20"/>
              </w:rPr>
            </w:pPr>
          </w:p>
        </w:tc>
      </w:tr>
      <w:tr w:rsidR="0058289F">
        <w:trPr>
          <w:trHeight w:val="420"/>
        </w:trPr>
        <w:tc>
          <w:tcPr>
            <w:tcW w:w="5402" w:type="dxa"/>
            <w:noWrap/>
            <w:tcMar>
              <w:top w:w="0" w:type="dxa"/>
              <w:left w:w="108" w:type="dxa"/>
              <w:bottom w:w="0" w:type="dxa"/>
              <w:right w:w="108" w:type="dxa"/>
            </w:tcMar>
            <w:vAlign w:val="bottom"/>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 xml:space="preserve">Учредитель </w:t>
            </w:r>
          </w:p>
        </w:tc>
        <w:tc>
          <w:tcPr>
            <w:tcW w:w="222" w:type="dxa"/>
            <w:noWrap/>
            <w:tcMar>
              <w:top w:w="0" w:type="dxa"/>
              <w:left w:w="108" w:type="dxa"/>
              <w:bottom w:w="0" w:type="dxa"/>
              <w:right w:w="108" w:type="dxa"/>
            </w:tcMar>
            <w:vAlign w:val="bottom"/>
            <w:hideMark/>
          </w:tcPr>
          <w:p w:rsidR="0058289F" w:rsidRDefault="0058289F">
            <w:pPr>
              <w:rPr>
                <w:sz w:val="24"/>
              </w:rPr>
            </w:pPr>
          </w:p>
        </w:tc>
        <w:tc>
          <w:tcPr>
            <w:tcW w:w="1365" w:type="dxa"/>
            <w:noWrap/>
            <w:tcMar>
              <w:top w:w="0" w:type="dxa"/>
              <w:left w:w="108" w:type="dxa"/>
              <w:bottom w:w="0" w:type="dxa"/>
              <w:right w:w="108" w:type="dxa"/>
            </w:tcMar>
            <w:vAlign w:val="bottom"/>
            <w:hideMark/>
          </w:tcPr>
          <w:p w:rsidR="0058289F" w:rsidRDefault="000E21EF">
            <w:pPr>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по ОКТМО </w:t>
            </w: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22704000</w:t>
            </w:r>
          </w:p>
        </w:tc>
      </w:tr>
      <w:tr w:rsidR="0058289F">
        <w:trPr>
          <w:trHeight w:val="195"/>
        </w:trPr>
        <w:tc>
          <w:tcPr>
            <w:tcW w:w="5402" w:type="dxa"/>
            <w:noWrap/>
            <w:tcMar>
              <w:top w:w="0" w:type="dxa"/>
              <w:left w:w="108" w:type="dxa"/>
              <w:bottom w:w="0" w:type="dxa"/>
              <w:right w:w="108" w:type="dxa"/>
            </w:tcMar>
            <w:vAlign w:val="bottom"/>
            <w:hideMark/>
          </w:tcPr>
          <w:p w:rsidR="0058289F" w:rsidRDefault="000E21EF">
            <w:pPr>
              <w:spacing w:line="195" w:lineRule="atLeast"/>
              <w:rPr>
                <w:rFonts w:ascii="Times New Roman" w:eastAsia="Times New Roman" w:hAnsi="Times New Roman" w:cs="Times New Roman"/>
                <w:sz w:val="24"/>
              </w:rPr>
            </w:pPr>
            <w:r>
              <w:rPr>
                <w:rFonts w:ascii="Times New Roman" w:eastAsia="Times New Roman" w:hAnsi="Times New Roman" w:cs="Times New Roman"/>
                <w:sz w:val="16"/>
                <w:szCs w:val="16"/>
              </w:rPr>
              <w:t xml:space="preserve">Наименование органа, </w:t>
            </w:r>
          </w:p>
        </w:tc>
        <w:tc>
          <w:tcPr>
            <w:tcW w:w="222" w:type="dxa"/>
            <w:noWrap/>
            <w:tcMar>
              <w:top w:w="0" w:type="dxa"/>
              <w:left w:w="108" w:type="dxa"/>
              <w:bottom w:w="0" w:type="dxa"/>
              <w:right w:w="108" w:type="dxa"/>
            </w:tcMar>
            <w:vAlign w:val="bottom"/>
            <w:hideMark/>
          </w:tcPr>
          <w:p w:rsidR="0058289F" w:rsidRDefault="0058289F">
            <w:pPr>
              <w:rPr>
                <w:sz w:val="20"/>
              </w:rPr>
            </w:pPr>
          </w:p>
        </w:tc>
        <w:tc>
          <w:tcPr>
            <w:tcW w:w="1365" w:type="dxa"/>
            <w:noWrap/>
            <w:tcMar>
              <w:top w:w="0" w:type="dxa"/>
              <w:left w:w="108" w:type="dxa"/>
              <w:bottom w:w="0" w:type="dxa"/>
              <w:right w:w="108" w:type="dxa"/>
            </w:tcMar>
            <w:vAlign w:val="bottom"/>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729"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58289F" w:rsidRDefault="0058289F">
            <w:pPr>
              <w:rPr>
                <w:sz w:val="20"/>
              </w:rPr>
            </w:pPr>
          </w:p>
        </w:tc>
      </w:tr>
      <w:tr w:rsidR="0058289F">
        <w:trPr>
          <w:trHeight w:val="210"/>
        </w:trPr>
        <w:tc>
          <w:tcPr>
            <w:tcW w:w="5402" w:type="dxa"/>
            <w:noWrap/>
            <w:tcMar>
              <w:top w:w="0" w:type="dxa"/>
              <w:left w:w="108" w:type="dxa"/>
              <w:bottom w:w="0" w:type="dxa"/>
              <w:right w:w="108" w:type="dxa"/>
            </w:tcMar>
            <w:vAlign w:val="bottom"/>
            <w:hideMark/>
          </w:tcPr>
          <w:p w:rsidR="0058289F" w:rsidRDefault="000E21EF">
            <w:pPr>
              <w:spacing w:line="195" w:lineRule="atLeast"/>
              <w:rPr>
                <w:rFonts w:ascii="Times New Roman" w:eastAsia="Times New Roman" w:hAnsi="Times New Roman" w:cs="Times New Roman"/>
                <w:sz w:val="24"/>
              </w:rPr>
            </w:pPr>
            <w:r>
              <w:rPr>
                <w:rFonts w:ascii="Times New Roman" w:eastAsia="Times New Roman" w:hAnsi="Times New Roman" w:cs="Times New Roman"/>
                <w:sz w:val="16"/>
                <w:szCs w:val="16"/>
              </w:rPr>
              <w:t>осуществляющего</w:t>
            </w:r>
          </w:p>
        </w:tc>
        <w:tc>
          <w:tcPr>
            <w:tcW w:w="222" w:type="dxa"/>
            <w:noWrap/>
            <w:tcMar>
              <w:top w:w="0" w:type="dxa"/>
              <w:left w:w="108" w:type="dxa"/>
              <w:bottom w:w="0" w:type="dxa"/>
              <w:right w:w="108" w:type="dxa"/>
            </w:tcMar>
            <w:vAlign w:val="bottom"/>
            <w:hideMark/>
          </w:tcPr>
          <w:p w:rsidR="0058289F" w:rsidRDefault="0058289F">
            <w:pPr>
              <w:rPr>
                <w:sz w:val="20"/>
              </w:rPr>
            </w:pPr>
          </w:p>
        </w:tc>
        <w:tc>
          <w:tcPr>
            <w:tcW w:w="1365" w:type="dxa"/>
            <w:noWrap/>
            <w:tcMar>
              <w:top w:w="0" w:type="dxa"/>
              <w:left w:w="108" w:type="dxa"/>
              <w:bottom w:w="0" w:type="dxa"/>
              <w:right w:w="108" w:type="dxa"/>
            </w:tcMar>
            <w:vAlign w:val="bottom"/>
            <w:hideMark/>
          </w:tcPr>
          <w:p w:rsidR="0058289F" w:rsidRDefault="000E21EF">
            <w:pPr>
              <w:spacing w:line="195" w:lineRule="atLeast"/>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по ОКПО </w:t>
            </w: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58289F" w:rsidRDefault="000E21EF">
            <w:pPr>
              <w:spacing w:line="210"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79664695</w:t>
            </w:r>
          </w:p>
        </w:tc>
      </w:tr>
      <w:tr w:rsidR="0058289F">
        <w:trPr>
          <w:trHeight w:val="320"/>
        </w:trPr>
        <w:tc>
          <w:tcPr>
            <w:tcW w:w="5624" w:type="dxa"/>
            <w:gridSpan w:val="2"/>
            <w:tcMar>
              <w:top w:w="0" w:type="dxa"/>
              <w:left w:w="108" w:type="dxa"/>
              <w:bottom w:w="0" w:type="dxa"/>
              <w:right w:w="108" w:type="dxa"/>
            </w:tcMar>
            <w:vAlign w:val="bottom"/>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полномочия учредителя   </w:t>
            </w:r>
          </w:p>
        </w:tc>
        <w:tc>
          <w:tcPr>
            <w:tcW w:w="1365" w:type="dxa"/>
            <w:noWrap/>
            <w:tcMar>
              <w:top w:w="0" w:type="dxa"/>
              <w:left w:w="108" w:type="dxa"/>
              <w:bottom w:w="0" w:type="dxa"/>
              <w:right w:w="108" w:type="dxa"/>
            </w:tcMar>
            <w:vAlign w:val="bottom"/>
            <w:hideMark/>
          </w:tcPr>
          <w:p w:rsidR="0058289F" w:rsidRDefault="000E21EF">
            <w:pPr>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Глава по БК </w:t>
            </w:r>
          </w:p>
        </w:tc>
        <w:tc>
          <w:tcPr>
            <w:tcW w:w="2729"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58289F" w:rsidRDefault="0058289F">
            <w:pPr>
              <w:rPr>
                <w:sz w:val="24"/>
              </w:rPr>
            </w:pPr>
          </w:p>
        </w:tc>
      </w:tr>
      <w:tr w:rsidR="0058289F">
        <w:trPr>
          <w:trHeight w:val="282"/>
        </w:trPr>
        <w:tc>
          <w:tcPr>
            <w:tcW w:w="5624" w:type="dxa"/>
            <w:gridSpan w:val="2"/>
            <w:noWrap/>
            <w:tcMar>
              <w:top w:w="0" w:type="dxa"/>
              <w:left w:w="108" w:type="dxa"/>
              <w:bottom w:w="0" w:type="dxa"/>
              <w:right w:w="108" w:type="dxa"/>
            </w:tcMar>
            <w:vAlign w:val="bottom"/>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Периодичность:    квартальная, годовая</w:t>
            </w:r>
          </w:p>
        </w:tc>
        <w:tc>
          <w:tcPr>
            <w:tcW w:w="1365" w:type="dxa"/>
            <w:noWrap/>
            <w:tcMar>
              <w:top w:w="0" w:type="dxa"/>
              <w:left w:w="108" w:type="dxa"/>
              <w:bottom w:w="0" w:type="dxa"/>
              <w:right w:w="108" w:type="dxa"/>
            </w:tcMar>
            <w:vAlign w:val="bottom"/>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72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r>
      <w:tr w:rsidR="0058289F">
        <w:trPr>
          <w:trHeight w:val="320"/>
        </w:trPr>
        <w:tc>
          <w:tcPr>
            <w:tcW w:w="5402" w:type="dxa"/>
            <w:noWrap/>
            <w:tcMar>
              <w:top w:w="0" w:type="dxa"/>
              <w:left w:w="108" w:type="dxa"/>
              <w:bottom w:w="0" w:type="dxa"/>
              <w:right w:w="108" w:type="dxa"/>
            </w:tcMar>
            <w:vAlign w:val="bottom"/>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22" w:type="dxa"/>
            <w:noWrap/>
            <w:tcMar>
              <w:top w:w="0" w:type="dxa"/>
              <w:left w:w="108" w:type="dxa"/>
              <w:bottom w:w="0" w:type="dxa"/>
              <w:right w:w="108" w:type="dxa"/>
            </w:tcMar>
            <w:vAlign w:val="bottom"/>
            <w:hideMark/>
          </w:tcPr>
          <w:p w:rsidR="0058289F" w:rsidRDefault="0058289F">
            <w:pPr>
              <w:rPr>
                <w:sz w:val="24"/>
              </w:rPr>
            </w:pPr>
          </w:p>
        </w:tc>
        <w:tc>
          <w:tcPr>
            <w:tcW w:w="1365" w:type="dxa"/>
            <w:noWrap/>
            <w:tcMar>
              <w:top w:w="0" w:type="dxa"/>
              <w:left w:w="108" w:type="dxa"/>
              <w:bottom w:w="0" w:type="dxa"/>
              <w:right w:w="108" w:type="dxa"/>
            </w:tcMar>
            <w:vAlign w:val="bottom"/>
            <w:hideMark/>
          </w:tcPr>
          <w:p w:rsidR="0058289F" w:rsidRDefault="000E21EF">
            <w:pPr>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к Балансу по форме </w:t>
            </w: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0503730</w:t>
            </w:r>
          </w:p>
        </w:tc>
      </w:tr>
      <w:tr w:rsidR="0058289F">
        <w:trPr>
          <w:trHeight w:val="282"/>
        </w:trPr>
        <w:tc>
          <w:tcPr>
            <w:tcW w:w="5402" w:type="dxa"/>
            <w:noWrap/>
            <w:tcMar>
              <w:top w:w="0" w:type="dxa"/>
              <w:left w:w="108" w:type="dxa"/>
              <w:bottom w:w="0" w:type="dxa"/>
              <w:right w:w="108" w:type="dxa"/>
            </w:tcMar>
            <w:vAlign w:val="bottom"/>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Единица измерения: руб.</w:t>
            </w:r>
          </w:p>
        </w:tc>
        <w:tc>
          <w:tcPr>
            <w:tcW w:w="222" w:type="dxa"/>
            <w:noWrap/>
            <w:tcMar>
              <w:top w:w="0" w:type="dxa"/>
              <w:left w:w="108" w:type="dxa"/>
              <w:bottom w:w="0" w:type="dxa"/>
              <w:right w:w="108" w:type="dxa"/>
            </w:tcMar>
            <w:vAlign w:val="bottom"/>
            <w:hideMark/>
          </w:tcPr>
          <w:p w:rsidR="0058289F" w:rsidRDefault="0058289F">
            <w:pPr>
              <w:rPr>
                <w:sz w:val="24"/>
              </w:rPr>
            </w:pPr>
          </w:p>
        </w:tc>
        <w:tc>
          <w:tcPr>
            <w:tcW w:w="1365" w:type="dxa"/>
            <w:noWrap/>
            <w:tcMar>
              <w:top w:w="0" w:type="dxa"/>
              <w:left w:w="108" w:type="dxa"/>
              <w:bottom w:w="0" w:type="dxa"/>
              <w:right w:w="108" w:type="dxa"/>
            </w:tcMar>
            <w:vAlign w:val="bottom"/>
            <w:hideMark/>
          </w:tcPr>
          <w:p w:rsidR="0058289F" w:rsidRDefault="000E21EF">
            <w:pPr>
              <w:spacing w:before="240" w:beforeAutospacing="1" w:after="240" w:afterAutospacing="1"/>
              <w:jc w:val="right"/>
              <w:rPr>
                <w:rFonts w:ascii="Times New Roman" w:eastAsia="Times New Roman" w:hAnsi="Times New Roman" w:cs="Times New Roman"/>
                <w:sz w:val="24"/>
              </w:rPr>
            </w:pPr>
            <w:r>
              <w:rPr>
                <w:rFonts w:ascii="Times New Roman" w:eastAsia="Times New Roman" w:hAnsi="Times New Roman" w:cs="Times New Roman"/>
                <w:sz w:val="16"/>
                <w:szCs w:val="16"/>
              </w:rPr>
              <w:t>    по ОКЕИ</w:t>
            </w:r>
          </w:p>
        </w:tc>
        <w:tc>
          <w:tcPr>
            <w:tcW w:w="272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383</w:t>
            </w:r>
          </w:p>
        </w:tc>
      </w:tr>
      <w:tr w:rsidR="0058289F">
        <w:trPr>
          <w:trHeight w:val="282"/>
        </w:trPr>
        <w:tc>
          <w:tcPr>
            <w:tcW w:w="9718" w:type="dxa"/>
            <w:gridSpan w:val="4"/>
            <w:noWrap/>
            <w:tcMar>
              <w:top w:w="0" w:type="dxa"/>
              <w:left w:w="108" w:type="dxa"/>
              <w:bottom w:w="0" w:type="dxa"/>
              <w:right w:w="108" w:type="dxa"/>
            </w:tcMar>
            <w:vAlign w:val="bottom"/>
            <w:hideMark/>
          </w:tcPr>
          <w:p w:rsidR="0058289F" w:rsidRDefault="0058289F">
            <w:pPr>
              <w:rPr>
                <w:sz w:val="24"/>
              </w:rPr>
            </w:pPr>
          </w:p>
        </w:tc>
      </w:tr>
    </w:tbl>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Раздел 1. Организационная структура учреждения</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roofErr w:type="gramStart"/>
      <w:r>
        <w:rPr>
          <w:rFonts w:ascii="DejaVu Serif" w:eastAsia="DejaVu Serif" w:hAnsi="DejaVu Serif" w:cs="DejaVu Serif"/>
          <w:color w:val="000000"/>
          <w:sz w:val="28"/>
          <w:szCs w:val="28"/>
        </w:rPr>
        <w:t>Департамент  финансов Администрации г. Саров, утвержден решением городской Думы от 17.11.2005 г. № 146/4-гд «Об учреждении органа Администрации г. Саров – Департамент финансов» (с учетом внесения</w:t>
      </w:r>
      <w:proofErr w:type="gramEnd"/>
      <w:r>
        <w:rPr>
          <w:rFonts w:ascii="DejaVu Serif" w:eastAsia="DejaVu Serif" w:hAnsi="DejaVu Serif" w:cs="DejaVu Serif"/>
          <w:color w:val="000000"/>
          <w:sz w:val="28"/>
          <w:szCs w:val="28"/>
        </w:rPr>
        <w:t xml:space="preserve"> изменений, утвержденных решением Городской Думы города Сарова от 15.12.2011 г. № 132/5-гд, от 27.02.2014 г. № 13/5-гд, от 28.11. 2016 г. № 99/6-гд,  от 07.05.2020 г. № 43/6-гд).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Департамент финансов Администрации г. Саров является органом Администрации города Сарова, созданным для исполнения полномочий  финансового органа, предусмотренных бюджетным законодательством Российской Федерации.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Учредителем муниципальных бюджетных учреждений является муниципальное образование город Саров, от имени которого действует Администрация города Сарова. Функции и полномочия учредителя осуществляет орган Администрации города Сарова.</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 состоянию на 01 января 2025 года количество муниципальных бюджетных учреждений города Сарова Нижегородской области составляло 64.</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 течение отчетного периода произошли изменения.</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 состоянию на 01 января 2026 года количество муниципальных бюджетных учреждений города Сарова Нижегородской области составляет 64.</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 состоянию на 01 января 2026 года муниципальных автономных учреждений нет.</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left="700"/>
        <w:jc w:val="both"/>
        <w:rPr>
          <w:rFonts w:ascii="Times New Roman" w:eastAsia="Times New Roman" w:hAnsi="Times New Roman" w:cs="Times New Roman"/>
          <w:sz w:val="24"/>
        </w:rPr>
      </w:pPr>
      <w:r>
        <w:rPr>
          <w:rFonts w:ascii="DejaVu Serif" w:eastAsia="DejaVu Serif" w:hAnsi="DejaVu Serif" w:cs="DejaVu Serif"/>
          <w:color w:val="000000"/>
          <w:sz w:val="28"/>
          <w:szCs w:val="28"/>
        </w:rPr>
        <w:lastRenderedPageBreak/>
        <w:t xml:space="preserve"> В муниципальных бюджетных учреждениях наблюдательных советов нет.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Раздел 2. Результаты деятельности учреждения</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Основные направления бюджетной и налоговой политики города Сарова на 2025 год и на плановый период 2026 и 2027 годов разработаны в соответствии с Положением о бюджетном процессе в городе </w:t>
      </w:r>
      <w:proofErr w:type="spellStart"/>
      <w:r>
        <w:rPr>
          <w:rFonts w:ascii="DejaVu Serif" w:eastAsia="DejaVu Serif" w:hAnsi="DejaVu Serif" w:cs="DejaVu Serif"/>
          <w:color w:val="000000"/>
          <w:sz w:val="28"/>
          <w:szCs w:val="28"/>
        </w:rPr>
        <w:t>Сарове</w:t>
      </w:r>
      <w:proofErr w:type="spellEnd"/>
      <w:r>
        <w:rPr>
          <w:rFonts w:ascii="DejaVu Serif" w:eastAsia="DejaVu Serif" w:hAnsi="DejaVu Serif" w:cs="DejaVu Serif"/>
          <w:color w:val="000000"/>
          <w:sz w:val="28"/>
          <w:szCs w:val="28"/>
        </w:rPr>
        <w:t>, утвержденным решением Городской Думы города Сарова от 10.11.2009 №123/4-гд.</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Формирование бюджета города Сарова осуществлялось на три года (на 2025 год и на плановый период 2026 и 2027 годов).</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Бюджетная и налоговая политика города Сарова в 2025 году была направлена на закрепление экономического роста, обеспечение населения города доступными и качественными муниципальными услугами (работами).</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Финансово-хозяйственная деятельность муниципальных бюджетных учреждений города Сарова в 2025 году строилась на принципах целевого и рационального использования бюджетных ассигнований и средств, полученных из внебюджетных источников, наиболее полного удовлетворения потребностей учреждений.</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Учредителем муниципальных бюджетных учреждений является муниципальное образование город Саров, от имени которого действует Администрация города Сарова. Функции и полномочия учредителя осуществляют Администрация города Сарова и Департаменты Администрации города Сарова.</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Между Учредителем и муниципальными бюджетными учреждениями в 2025 году заключены Соглашения о порядке и условиях предоставления субсидии на финансовое обеспечение выполнения муниципального задания на оказание муниципальных услуг (выполнение работ). </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Всем бюджетным учреждениям утверждены муниципальные задания. Объемы муниципальных услуг (работ) утверждены в натуральных показателях, без утверждения плановых показателей по финансовому обеспечению выполнения муниципального задания по каждому виду оказываемой услуги (работе). На основании представленных учреждениями предварительных отчетов о выполнении муниципальных заданий в четвертом квартале 2025 года была произведена корректировка муниципальных заданий.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 состоянию на 01 января 2026 года количество муниципальных  бюджетных учреждений составляет - 64, из них:</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по разделу 01 «Общегосударственные вопросы» - 2 </w:t>
      </w:r>
      <w:proofErr w:type="gramStart"/>
      <w:r>
        <w:rPr>
          <w:rFonts w:ascii="DejaVu Serif" w:eastAsia="DejaVu Serif" w:hAnsi="DejaVu Serif" w:cs="DejaVu Serif"/>
          <w:color w:val="000000"/>
          <w:sz w:val="28"/>
          <w:szCs w:val="28"/>
        </w:rPr>
        <w:t>бюджетных</w:t>
      </w:r>
      <w:proofErr w:type="gramEnd"/>
      <w:r>
        <w:rPr>
          <w:rFonts w:ascii="DejaVu Serif" w:eastAsia="DejaVu Serif" w:hAnsi="DejaVu Serif" w:cs="DejaVu Serif"/>
          <w:color w:val="000000"/>
          <w:sz w:val="28"/>
          <w:szCs w:val="28"/>
        </w:rPr>
        <w:t xml:space="preserve"> учреждения, </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по разделу 04 «Национальная экономика» - 3 </w:t>
      </w:r>
      <w:proofErr w:type="gramStart"/>
      <w:r>
        <w:rPr>
          <w:rFonts w:ascii="DejaVu Serif" w:eastAsia="DejaVu Serif" w:hAnsi="DejaVu Serif" w:cs="DejaVu Serif"/>
          <w:color w:val="000000"/>
          <w:sz w:val="28"/>
          <w:szCs w:val="28"/>
        </w:rPr>
        <w:t>бюджетных</w:t>
      </w:r>
      <w:proofErr w:type="gramEnd"/>
      <w:r>
        <w:rPr>
          <w:rFonts w:ascii="DejaVu Serif" w:eastAsia="DejaVu Serif" w:hAnsi="DejaVu Serif" w:cs="DejaVu Serif"/>
          <w:color w:val="000000"/>
          <w:sz w:val="28"/>
          <w:szCs w:val="28"/>
        </w:rPr>
        <w:t xml:space="preserve"> учреждения, </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по разделу 05 « Коммунальное хозяйство» - 1 бюджетное учреждение, </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по разделу 07 «Образование» - 53 бюджетное учреждение, </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lastRenderedPageBreak/>
        <w:t> по разделу 08 «Культура, кинематография» - 4 бюджетных учреждений.</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по разделу 12 «Средства массовой информации» -1 бюджетное учреждение.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Штатная численность работников муниципальных бюджетных учреждений города Сарова на 01 января 2026 года составляет 5 293 ед. </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Фактическая численность работников муниципальных бюджетных учреждений города Сарова на 01 января 2026 года составляет 3 668 чел.  </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Средняя зарплата работников муниципальных бюджетных учреждений города Сарова за 2025 года составила 54 040 руб.</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Стоимость основных средств по всем видам деятельности по состоянию на 01 января 2026 года составляет 9 846 287 611,74 руб.</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На 01 января 2026 года произошло увеличение стоимости основных средств на 3 216 126 246,95 руб. (49 %).</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Ежегодно в целях определения сохранности основных фондов проводятся инвентаризации. </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Техническое состояние основных фондов удовлетворительное. Обеспеченность 100%. Во всех помещениях имеется охранно-пожарная сигнализация, заключены договора на ее обслуживание. Проводится мониторинг технического состояния основных средств.</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roofErr w:type="gramStart"/>
      <w:r>
        <w:rPr>
          <w:rFonts w:ascii="DejaVu Serif" w:eastAsia="DejaVu Serif" w:hAnsi="DejaVu Serif" w:cs="DejaVu Serif"/>
          <w:color w:val="000000"/>
          <w:sz w:val="28"/>
          <w:szCs w:val="28"/>
        </w:rPr>
        <w:t>Объемы закупок товаров, работ (услуг) муниципальных бюджетных учреждений за 2025 год составили  1 787 772 067,13 руб., в том числе с применением конкурентных способов на сумму 795 805 428,11 руб. При проведении торгов учреждениями сэкономлено бюджетных средств на сумму 45 052 819,61 руб. Средства от экономии были направлены на приобретение нефинансовых активов.</w:t>
      </w:r>
      <w:proofErr w:type="gramEnd"/>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В 2025 году осуществили повышение квалификации, переподготовку, получили дополнительное образование и приняли участие в различных семинарах 886 человек. </w:t>
      </w:r>
    </w:p>
    <w:p w:rsidR="0058289F" w:rsidRDefault="000E21EF">
      <w:pPr>
        <w:ind w:firstLine="18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Бюджетные учреждения имеют свои официальные сайты, </w:t>
      </w:r>
      <w:proofErr w:type="spellStart"/>
      <w:r>
        <w:rPr>
          <w:rFonts w:ascii="DejaVu Serif" w:eastAsia="DejaVu Serif" w:hAnsi="DejaVu Serif" w:cs="DejaVu Serif"/>
          <w:color w:val="000000"/>
          <w:sz w:val="28"/>
          <w:szCs w:val="28"/>
        </w:rPr>
        <w:t>аккаунты</w:t>
      </w:r>
      <w:proofErr w:type="spellEnd"/>
      <w:r>
        <w:rPr>
          <w:rFonts w:ascii="DejaVu Serif" w:eastAsia="DejaVu Serif" w:hAnsi="DejaVu Serif" w:cs="DejaVu Serif"/>
          <w:color w:val="000000"/>
          <w:sz w:val="28"/>
          <w:szCs w:val="28"/>
        </w:rPr>
        <w:t xml:space="preserve"> в социальных сетях. Данные ресурсы постоянно обновляются, публичные документы размещаются на официальных сайтах регулярно.</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Сведения о мерах по повышению эффективности расходования бюджетных средств в учреждениях:</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 Своевременность расчетов по обязательствам. </w:t>
      </w:r>
      <w:r>
        <w:rPr>
          <w:rFonts w:ascii="DejaVu Serif" w:eastAsia="DejaVu Serif" w:hAnsi="DejaVu Serif" w:cs="DejaVu Serif"/>
          <w:b/>
          <w:color w:val="000000"/>
          <w:sz w:val="28"/>
          <w:szCs w:val="28"/>
        </w:rPr>
        <w:t>Результат</w:t>
      </w:r>
      <w:r>
        <w:rPr>
          <w:rFonts w:ascii="DejaVu Serif" w:eastAsia="DejaVu Serif" w:hAnsi="DejaVu Serif" w:cs="DejaVu Serif"/>
          <w:color w:val="000000"/>
          <w:sz w:val="28"/>
          <w:szCs w:val="28"/>
        </w:rPr>
        <w:t xml:space="preserve"> – своевременная оплата счетов, отсутствие просроченной кредиторской задолженности.</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 Доведение информации до контрагентов. </w:t>
      </w:r>
      <w:r>
        <w:rPr>
          <w:rFonts w:ascii="DejaVu Serif" w:eastAsia="DejaVu Serif" w:hAnsi="DejaVu Serif" w:cs="DejaVu Serif"/>
          <w:b/>
          <w:color w:val="000000"/>
          <w:sz w:val="28"/>
          <w:szCs w:val="28"/>
        </w:rPr>
        <w:t xml:space="preserve">Результат </w:t>
      </w:r>
      <w:r>
        <w:rPr>
          <w:rFonts w:ascii="DejaVu Serif" w:eastAsia="DejaVu Serif" w:hAnsi="DejaVu Serif" w:cs="DejaVu Serif"/>
          <w:color w:val="000000"/>
          <w:sz w:val="28"/>
          <w:szCs w:val="28"/>
        </w:rPr>
        <w:t>- своевременная оплата счетов, недопущение просроченной дебиторской и просроченной кредиторской задолженности.</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lastRenderedPageBreak/>
        <w:t xml:space="preserve"> - Ведения табеля учета рабочего времени в учреждениях. </w:t>
      </w:r>
      <w:r>
        <w:rPr>
          <w:rFonts w:ascii="DejaVu Serif" w:eastAsia="DejaVu Serif" w:hAnsi="DejaVu Serif" w:cs="DejaVu Serif"/>
          <w:b/>
          <w:color w:val="000000"/>
          <w:sz w:val="28"/>
          <w:szCs w:val="28"/>
        </w:rPr>
        <w:t>Результат</w:t>
      </w:r>
      <w:r>
        <w:rPr>
          <w:rFonts w:ascii="DejaVu Serif" w:eastAsia="DejaVu Serif" w:hAnsi="DejaVu Serif" w:cs="DejaVu Serif"/>
          <w:color w:val="000000"/>
          <w:sz w:val="28"/>
          <w:szCs w:val="28"/>
        </w:rPr>
        <w:t xml:space="preserve"> - своевременная выплата заработной платы сотрудникам, своевременные перечисления удержанных из заработной платы налогов, коммунальных и иных платежей.</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 Назначение материально-ответственных лиц в учреждениях. </w:t>
      </w:r>
      <w:r>
        <w:rPr>
          <w:rFonts w:ascii="DejaVu Serif" w:eastAsia="DejaVu Serif" w:hAnsi="DejaVu Serif" w:cs="DejaVu Serif"/>
          <w:b/>
          <w:color w:val="000000"/>
          <w:sz w:val="28"/>
          <w:szCs w:val="28"/>
        </w:rPr>
        <w:t>Результат</w:t>
      </w:r>
      <w:r>
        <w:rPr>
          <w:rFonts w:ascii="DejaVu Serif" w:eastAsia="DejaVu Serif" w:hAnsi="DejaVu Serif" w:cs="DejaVu Serif"/>
          <w:color w:val="000000"/>
          <w:sz w:val="28"/>
          <w:szCs w:val="28"/>
        </w:rPr>
        <w:t xml:space="preserve"> - обеспечение сохранности имущества, оборудования, материальных ценностей.</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 Проведение инструктажа с материально-ответственными лицами, подотчетными лицами в учреждениях. </w:t>
      </w:r>
      <w:r>
        <w:rPr>
          <w:rFonts w:ascii="DejaVu Serif" w:eastAsia="DejaVu Serif" w:hAnsi="DejaVu Serif" w:cs="DejaVu Serif"/>
          <w:b/>
          <w:color w:val="000000"/>
          <w:sz w:val="28"/>
          <w:szCs w:val="28"/>
        </w:rPr>
        <w:t>Результат</w:t>
      </w:r>
      <w:r>
        <w:rPr>
          <w:rFonts w:ascii="DejaVu Serif" w:eastAsia="DejaVu Serif" w:hAnsi="DejaVu Serif" w:cs="DejaVu Serif"/>
          <w:color w:val="000000"/>
          <w:sz w:val="28"/>
          <w:szCs w:val="28"/>
        </w:rPr>
        <w:t xml:space="preserve"> - рациональное использование имущества, качественное ведение бухгалтерского учета и своевременное предоставление отчетности.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Раздел 3. Анализ отчета об исполнении учреждением плана его деятельности</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Собственные доходы муниципальных бюджетных учреждений за 2025 год составляют 338 602 204,22 рублей или 81,02 % от годовых плановых назначений. Отклонение составляет  79 335 944,62 рублей.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Отклонения фактических поступлений за 2025 год от утвержденных плановых назначений по приносящей доход деятельности (собственным доходам) имеются по следующим видам доходов:</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Доходы по статье 120 «Доходы от собственности» составляют 13 346 589,29 рублей или 92,1 % от годовых плановых назначений. Отклонение 1 141 536,10 рублей. Недовыполнение плановых назначений связано с тем, что:</w:t>
      </w:r>
    </w:p>
    <w:p w:rsidR="0058289F" w:rsidRDefault="000E21EF">
      <w:pPr>
        <w:ind w:left="720" w:hanging="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имеется непогашенная задолженность по арендной плате на 01.01.2026;</w:t>
      </w:r>
    </w:p>
    <w:p w:rsidR="0058289F" w:rsidRDefault="000E21EF">
      <w:pPr>
        <w:ind w:left="720" w:hanging="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имеется дебиторская задолженность по арендной плате, по предоставлению помещений, так же прекращены договорные отношения по аренде помещения ООО "Тата" (Центр внешкольной работы).</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color w:val="76923C"/>
          <w:sz w:val="28"/>
          <w:szCs w:val="28"/>
        </w:rPr>
        <w:t xml:space="preserve">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color w:val="76923C"/>
          <w:sz w:val="28"/>
          <w:szCs w:val="28"/>
        </w:rPr>
        <w:t xml:space="preserve">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Доходы по статье 130 «Доходы от оказания платных услуг (работ), компенсаций затрат» составляют 311 934 781,18 рублей или 79,75 % от годовых плановых назначений. Отклонение составляет 79 191 684,92 рублей. Недовыполнение плановых назначений связано с тем, что:</w:t>
      </w:r>
    </w:p>
    <w:p w:rsidR="0058289F" w:rsidRDefault="000E21EF">
      <w:pPr>
        <w:ind w:left="720" w:hanging="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недополучены доходы от оказания платных услуг муниципальными бюджетными общеобразовательными учреждениями, в связи со снижением посещаемости занятий из-за заболеваемости детей и проведением карантинных мероприятий;</w:t>
      </w:r>
    </w:p>
    <w:p w:rsidR="0058289F" w:rsidRDefault="000E21EF">
      <w:pPr>
        <w:ind w:left="720" w:hanging="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недополучена плата, взимаемая с родителей (законных представителей) за присмотр и уход за детьми в муниципальных образовательных организациях города, реализующих образовательную программу дошкольного образования, в связи с болезнью детей и проведением карантинных мероприятий;</w:t>
      </w:r>
    </w:p>
    <w:p w:rsidR="0058289F" w:rsidRDefault="000E21EF">
      <w:pPr>
        <w:ind w:left="720" w:hanging="360"/>
        <w:jc w:val="both"/>
        <w:rPr>
          <w:rFonts w:ascii="Times New Roman" w:eastAsia="Times New Roman" w:hAnsi="Times New Roman" w:cs="Times New Roman"/>
          <w:sz w:val="24"/>
        </w:rPr>
      </w:pPr>
      <w:r>
        <w:rPr>
          <w:rFonts w:ascii="DejaVu Serif" w:eastAsia="DejaVu Serif" w:hAnsi="DejaVu Serif" w:cs="DejaVu Serif"/>
          <w:color w:val="000000"/>
          <w:sz w:val="28"/>
          <w:szCs w:val="28"/>
        </w:rPr>
        <w:lastRenderedPageBreak/>
        <w:t xml:space="preserve"> · недополучены доходы от реализации билетов в связи с выходом из строя интегрированного </w:t>
      </w:r>
      <w:proofErr w:type="spellStart"/>
      <w:r>
        <w:rPr>
          <w:rFonts w:ascii="DejaVu Serif" w:eastAsia="DejaVu Serif" w:hAnsi="DejaVu Serif" w:cs="DejaVu Serif"/>
          <w:color w:val="000000"/>
          <w:sz w:val="28"/>
          <w:szCs w:val="28"/>
        </w:rPr>
        <w:t>мультимедийного</w:t>
      </w:r>
      <w:proofErr w:type="spellEnd"/>
      <w:r>
        <w:rPr>
          <w:rFonts w:ascii="DejaVu Serif" w:eastAsia="DejaVu Serif" w:hAnsi="DejaVu Serif" w:cs="DejaVu Serif"/>
          <w:color w:val="000000"/>
          <w:sz w:val="28"/>
          <w:szCs w:val="28"/>
        </w:rPr>
        <w:t xml:space="preserve"> </w:t>
      </w:r>
      <w:proofErr w:type="spellStart"/>
      <w:r>
        <w:rPr>
          <w:rFonts w:ascii="DejaVu Serif" w:eastAsia="DejaVu Serif" w:hAnsi="DejaVu Serif" w:cs="DejaVu Serif"/>
          <w:color w:val="000000"/>
          <w:sz w:val="28"/>
          <w:szCs w:val="28"/>
        </w:rPr>
        <w:t>кинопроцессора</w:t>
      </w:r>
      <w:proofErr w:type="spellEnd"/>
      <w:r>
        <w:rPr>
          <w:rFonts w:ascii="DejaVu Serif" w:eastAsia="DejaVu Serif" w:hAnsi="DejaVu Serif" w:cs="DejaVu Serif"/>
          <w:color w:val="000000"/>
          <w:sz w:val="28"/>
          <w:szCs w:val="28"/>
        </w:rPr>
        <w:t xml:space="preserve"> (ICMP) для кинопроектора </w:t>
      </w:r>
      <w:proofErr w:type="spellStart"/>
      <w:r>
        <w:rPr>
          <w:rFonts w:ascii="DejaVu Serif" w:eastAsia="DejaVu Serif" w:hAnsi="DejaVu Serif" w:cs="DejaVu Serif"/>
          <w:color w:val="000000"/>
          <w:sz w:val="28"/>
          <w:szCs w:val="28"/>
        </w:rPr>
        <w:t>Barco</w:t>
      </w:r>
      <w:proofErr w:type="spellEnd"/>
      <w:r>
        <w:rPr>
          <w:rFonts w:ascii="DejaVu Serif" w:eastAsia="DejaVu Serif" w:hAnsi="DejaVu Serif" w:cs="DejaVu Serif"/>
          <w:color w:val="000000"/>
          <w:sz w:val="28"/>
          <w:szCs w:val="28"/>
        </w:rPr>
        <w:t xml:space="preserve"> DP2K-10S, в результате чего отсутствовала возможность производить показ фильмов-выставок, фильмов-балетов, фильмов-спектаклей  и фильмов-опер, которые пользуются спросом у посетителей в МБУК "Городской музей"; </w:t>
      </w:r>
    </w:p>
    <w:p w:rsidR="0058289F" w:rsidRDefault="000E21EF">
      <w:pPr>
        <w:ind w:left="720" w:hanging="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недополучены доходы за посещение залов в МБУК «Городской музей» и МБУК «</w:t>
      </w:r>
      <w:proofErr w:type="spellStart"/>
      <w:r>
        <w:rPr>
          <w:rFonts w:ascii="DejaVu Serif" w:eastAsia="DejaVu Serif" w:hAnsi="DejaVu Serif" w:cs="DejaVu Serif"/>
          <w:color w:val="000000"/>
          <w:sz w:val="28"/>
          <w:szCs w:val="28"/>
        </w:rPr>
        <w:t>Саровский</w:t>
      </w:r>
      <w:proofErr w:type="spellEnd"/>
      <w:r>
        <w:rPr>
          <w:rFonts w:ascii="DejaVu Serif" w:eastAsia="DejaVu Serif" w:hAnsi="DejaVu Serif" w:cs="DejaVu Serif"/>
          <w:color w:val="000000"/>
          <w:sz w:val="28"/>
          <w:szCs w:val="28"/>
        </w:rPr>
        <w:t xml:space="preserve"> драматический театр», в связи с увеличением количества посетителей, имеющих льготы;</w:t>
      </w:r>
    </w:p>
    <w:p w:rsidR="0058289F" w:rsidRDefault="000E21EF">
      <w:pPr>
        <w:ind w:hanging="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color w:val="76923C"/>
          <w:sz w:val="28"/>
          <w:szCs w:val="28"/>
        </w:rPr>
        <w:t xml:space="preserve">· </w:t>
      </w:r>
      <w:r>
        <w:rPr>
          <w:rFonts w:ascii="DejaVu Serif" w:eastAsia="DejaVu Serif" w:hAnsi="DejaVu Serif" w:cs="DejaVu Serif"/>
          <w:color w:val="000000"/>
          <w:sz w:val="28"/>
          <w:szCs w:val="28"/>
        </w:rPr>
        <w:t>недополучены доходы от предоставления услуги массового катания (ДЮСШ "Икар"), в силу погодных условий;</w:t>
      </w:r>
    </w:p>
    <w:p w:rsidR="0058289F" w:rsidRDefault="000E21EF">
      <w:pPr>
        <w:ind w:hanging="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недополучены доходы от посещения кружков в Молодежном центре, в связи со снижением посещаемости занятий из-за заболеваемости детей;</w:t>
      </w:r>
    </w:p>
    <w:p w:rsidR="0058289F" w:rsidRDefault="000E21EF">
      <w:pPr>
        <w:ind w:hanging="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не полное исполнение плановых назначений связано с уменьшением заказов на выполнение работ и услуг предоставляемых МБУ «СГИ»;</w:t>
      </w:r>
    </w:p>
    <w:p w:rsidR="0058289F" w:rsidRDefault="000E21EF">
      <w:pPr>
        <w:ind w:hanging="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недополучены доходы от оказания платных услуг МБУ «Бани Сарова», в связи с проведением ремонтных работ в зданиях бань «Боровые» и бань «Центральные» (работало только одно общее отделение из двух).</w:t>
      </w:r>
    </w:p>
    <w:p w:rsidR="0058289F" w:rsidRDefault="000E21EF">
      <w:pPr>
        <w:ind w:firstLine="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Доходы по статье 140 «Доходы от штрафов, пеней, иных сумм принудительного изъятия» составляют 5 061 863,34 рублей или 99,9 % от годовых плановых назначений. Отклонение составляет 5 000,00 рублей. Недовыполнение плановых назначений связано с тем, что данный вид доходов не поддается точному планированию.</w:t>
      </w:r>
    </w:p>
    <w:p w:rsidR="0058289F" w:rsidRDefault="000E21EF">
      <w:pPr>
        <w:ind w:left="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
    <w:p w:rsidR="0058289F" w:rsidRDefault="000E21EF">
      <w:pPr>
        <w:ind w:firstLine="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Доходы по статье 150 «Безвозмездные денежные поступления текущего характера» составляют 16 362 483,22 рублей или 99,5 % от годовых плановых назначений. Отклонение составляет 89 500,00 рублей. Недовыполнение  плановых назначений связано с тем, что не в полной сумме поступила запланированная спонсорская помощь.</w:t>
      </w:r>
    </w:p>
    <w:p w:rsidR="0058289F" w:rsidRDefault="000E21EF">
      <w:pPr>
        <w:ind w:firstLine="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
    <w:p w:rsidR="0058289F" w:rsidRDefault="000E21EF">
      <w:pPr>
        <w:ind w:firstLine="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Доходы по статье 440 «Доходы от операций с активами (от выбытий материальных запасов)» составляют 170 278,22 рублей или 94,4 % от годовых плановых назначений. Отклонение составляет 10 180,60 рублей. Недовыполнение  плановых назначений связано с тем, что металлолома и макулатура было сдано на меньшую сумму, чем запланировано.</w:t>
      </w:r>
    </w:p>
    <w:p w:rsidR="0058289F" w:rsidRDefault="000E21EF">
      <w:pPr>
        <w:ind w:left="108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color w:val="76923C"/>
          <w:sz w:val="28"/>
          <w:szCs w:val="28"/>
        </w:rPr>
        <w:t xml:space="preserve"> </w:t>
      </w:r>
    </w:p>
    <w:p w:rsidR="0058289F" w:rsidRDefault="000E21EF">
      <w:pPr>
        <w:ind w:firstLine="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Доходы по статье 180 «Прочие доходы» составляют (-) 8 273 791,03 рублей или 88,2 % от годовых плановых назначений. Отклонение плановых назначений составляет (–) 1 101 957,00  рублей. Недовыполнение плановых назначений связано</w:t>
      </w:r>
      <w:r>
        <w:rPr>
          <w:rFonts w:ascii="DejaVu Serif" w:eastAsia="DejaVu Serif" w:hAnsi="DejaVu Serif" w:cs="DejaVu Serif"/>
          <w:color w:val="76923C"/>
          <w:sz w:val="28"/>
          <w:szCs w:val="28"/>
        </w:rPr>
        <w:t xml:space="preserve"> </w:t>
      </w:r>
      <w:r>
        <w:rPr>
          <w:rFonts w:ascii="DejaVu Serif" w:eastAsia="DejaVu Serif" w:hAnsi="DejaVu Serif" w:cs="DejaVu Serif"/>
          <w:color w:val="000000"/>
          <w:sz w:val="28"/>
          <w:szCs w:val="28"/>
        </w:rPr>
        <w:t>с уменьшением суммы налога на прибыль.</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360"/>
        <w:jc w:val="both"/>
        <w:rPr>
          <w:rFonts w:ascii="Times New Roman" w:eastAsia="Times New Roman" w:hAnsi="Times New Roman" w:cs="Times New Roman"/>
          <w:sz w:val="24"/>
        </w:rPr>
      </w:pPr>
      <w:r>
        <w:rPr>
          <w:rFonts w:ascii="DejaVu Serif" w:eastAsia="DejaVu Serif" w:hAnsi="DejaVu Serif" w:cs="DejaVu Serif"/>
          <w:color w:val="000000"/>
          <w:sz w:val="28"/>
          <w:szCs w:val="28"/>
        </w:rPr>
        <w:lastRenderedPageBreak/>
        <w:t> </w:t>
      </w:r>
      <w:r>
        <w:rPr>
          <w:rFonts w:ascii="DejaVu Serif" w:eastAsia="DejaVu Serif" w:hAnsi="DejaVu Serif" w:cs="DejaVu Serif"/>
          <w:b/>
          <w:color w:val="000000"/>
          <w:sz w:val="28"/>
          <w:szCs w:val="28"/>
        </w:rPr>
        <w:t>Анализ исполнения мероприятий в рамках субсидий</w:t>
      </w:r>
    </w:p>
    <w:p w:rsidR="0058289F" w:rsidRDefault="000E21EF">
      <w:pPr>
        <w:ind w:firstLine="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на муниципальное задание</w:t>
      </w:r>
    </w:p>
    <w:p w:rsidR="0058289F" w:rsidRDefault="000E21EF">
      <w:pPr>
        <w:ind w:firstLine="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Утверждено плановых назначений –  4 337 111 006,00 руб.</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Исполнено плановых назначений -     4 053 599 709,44 руб.</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Не исполнено плановых назначений –   283 511 296,56 руб. -  (93,46 %)</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Результат исполнения сложился за счет уменьшения расходов по начислениям на выплаты по оплате труда, в связи с применением регрессивной шкалы при расчетах страховых взносов и выплатой сумм, не подлежащих налогообложению, экономией по выплатам по листам нетрудоспособности за счет работодателя; наличием вакантных должностей в дошкольных учреждениях, за счет оплаты коммунальных услуг и услуг на содержание имущества и прочих услуг, произведенных по фактически предъявленным документам, за счет экономии сре</w:t>
      </w:r>
      <w:proofErr w:type="gramStart"/>
      <w:r>
        <w:rPr>
          <w:rFonts w:ascii="DejaVu Serif" w:eastAsia="DejaVu Serif" w:hAnsi="DejaVu Serif" w:cs="DejaVu Serif"/>
          <w:color w:val="000000"/>
          <w:sz w:val="28"/>
          <w:szCs w:val="28"/>
        </w:rPr>
        <w:t>дств в х</w:t>
      </w:r>
      <w:proofErr w:type="gramEnd"/>
      <w:r>
        <w:rPr>
          <w:rFonts w:ascii="DejaVu Serif" w:eastAsia="DejaVu Serif" w:hAnsi="DejaVu Serif" w:cs="DejaVu Serif"/>
          <w:color w:val="000000"/>
          <w:sz w:val="28"/>
          <w:szCs w:val="28"/>
        </w:rPr>
        <w:t>оде закупок товаров, работ, услуг в соответствии с требованиями ФЗ от 05.04.2013 № 44-ФЗ (содержание имущества, основные средства, материальные запасы).</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Анализ исполнения мероприятий в рамках субсидий на иные цели</w:t>
      </w:r>
    </w:p>
    <w:p w:rsidR="0058289F" w:rsidRDefault="000E21EF">
      <w:pPr>
        <w:ind w:firstLine="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Утверждено плановых назначений –  821 377 284,28  руб.</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Исполнено плановых назначений - 768 360 523,94  руб.</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Не исполнено плановых назначений – 53 016 760,34 руб. - (93,55 %)</w:t>
      </w:r>
    </w:p>
    <w:p w:rsidR="0058289F" w:rsidRDefault="000E21EF">
      <w:pPr>
        <w:ind w:firstLine="4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roofErr w:type="gramStart"/>
      <w:r>
        <w:rPr>
          <w:rFonts w:ascii="DejaVu Serif" w:eastAsia="DejaVu Serif" w:hAnsi="DejaVu Serif" w:cs="DejaVu Serif"/>
          <w:color w:val="000000"/>
          <w:sz w:val="28"/>
          <w:szCs w:val="28"/>
        </w:rPr>
        <w:t>Результат исполнения обусловлен в основном за счет уменьшения объема выплат ежемесячного денежного вознаграждения за классное руководство по причине болезни педагогических работников, за счет экономии по организации бесплатного горячего питания обучающихся, получающих начальное общее образование в муниципальных образовательных организациях, в связи со снижением посещаемости занятий из-за заболеваемости детей и проведением карантинных мероприятий, за</w:t>
      </w:r>
      <w:r>
        <w:rPr>
          <w:rFonts w:ascii="DejaVu Serif" w:eastAsia="DejaVu Serif" w:hAnsi="DejaVu Serif" w:cs="DejaVu Serif"/>
          <w:color w:val="FF0000"/>
          <w:sz w:val="28"/>
          <w:szCs w:val="28"/>
        </w:rPr>
        <w:t xml:space="preserve"> </w:t>
      </w:r>
      <w:r>
        <w:rPr>
          <w:rFonts w:ascii="DejaVu Serif" w:eastAsia="DejaVu Serif" w:hAnsi="DejaVu Serif" w:cs="DejaVu Serif"/>
          <w:color w:val="000000"/>
          <w:sz w:val="28"/>
          <w:szCs w:val="28"/>
        </w:rPr>
        <w:t>счет экономии по приобретению наборов продуктов питания.</w:t>
      </w:r>
      <w:proofErr w:type="gramEnd"/>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Форма 0503738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«Отчет об обязательствах учреждения»</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Объем принятых обязательств муниципальными учреждениями города Сарова не превышает утвержденных плановых назначений на 2025 год.</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Объем заключаемых контрактов по учреждениям соответствует утвержденному плану графику на 2025 год по состоянию на 01 января 2026 года. Отклонений от утвержденного плана графика нет, так как в случае изменений </w:t>
      </w:r>
      <w:r>
        <w:rPr>
          <w:rFonts w:ascii="DejaVu Serif" w:eastAsia="DejaVu Serif" w:hAnsi="DejaVu Serif" w:cs="DejaVu Serif"/>
          <w:color w:val="000000"/>
          <w:sz w:val="28"/>
          <w:szCs w:val="28"/>
        </w:rPr>
        <w:lastRenderedPageBreak/>
        <w:t>сроков по осуществлению закупок в план график вносятся соответствующие изменения.</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Расходы учреждениями на закупки осуществляются с учетом не только экономного расходования, но и эффективного, то есть муниципальные контракты (договоры) заключаются на лучших условиях, а именно: проводятся электронные аукционы.</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Муниципальные задания на оказание муниципальных услуг в 2025 году муниципальными учреждениями города Сарова в разрезе отраслей выполнены.</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Раздел 4. Анализ показателей отчетности учреждения</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Анализ показателей отчетности учреждений характеризуется показателями следующих форм: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3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Форма 0503730</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«Баланс государственного (муниципального) учреждения»</w:t>
      </w:r>
    </w:p>
    <w:p w:rsidR="0058289F" w:rsidRDefault="000E21EF">
      <w:pPr>
        <w:ind w:hanging="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Данные вступительного баланса за отчетный год по состоянию на 01 января 2025 года по сравнению с данными заключительного баланса за предыдущий год на 01 января 2025 года имеют изменения.</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Изменения связаны с исправлением ошибок прошлых лет.</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Изменения внесены на основании представленной годовой отчетности за 2025 год главных распорядителей бюджетных средств города Сарова по  КВФО-2, 4.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3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Форма 0503725</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«Справка по консолидированным расчетам учреждения»</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 состоянию на 01 января 2026 года форма 0503725 не имеет числовых значений.</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 отчетном периоде 2025 года реорганизации и изменения типа бюджетного, автономного учреждения на казенное учреждение не осуществлялось.</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Форма 0503710 Справка по заключению учреждением счетов бухгалтерского учета отчетного финансового год</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 Разделе 1 «Заключение счетов бухгалтерского учета отчетного финансового год» по счетам бухгалтерского учета 0 401 10 000 (КВФО 4,5) отражена безвозмездная передача имущества разных бюджетов.</w:t>
      </w:r>
    </w:p>
    <w:p w:rsidR="0058289F" w:rsidRDefault="000E21EF">
      <w:pPr>
        <w:ind w:firstLine="420"/>
        <w:jc w:val="both"/>
        <w:rPr>
          <w:rFonts w:ascii="Times New Roman" w:eastAsia="Times New Roman" w:hAnsi="Times New Roman" w:cs="Times New Roman"/>
          <w:sz w:val="24"/>
        </w:rPr>
      </w:pPr>
      <w:r>
        <w:rPr>
          <w:rFonts w:ascii="DejaVu Serif" w:eastAsia="DejaVu Serif" w:hAnsi="DejaVu Serif" w:cs="DejaVu Serif"/>
          <w:color w:val="000000"/>
          <w:sz w:val="28"/>
          <w:szCs w:val="28"/>
        </w:rPr>
        <w:lastRenderedPageBreak/>
        <w:t> </w:t>
      </w:r>
      <w:proofErr w:type="gramStart"/>
      <w:r>
        <w:rPr>
          <w:rFonts w:ascii="DejaVu Serif" w:eastAsia="DejaVu Serif" w:hAnsi="DejaVu Serif" w:cs="DejaVu Serif"/>
          <w:color w:val="000000"/>
          <w:sz w:val="28"/>
          <w:szCs w:val="28"/>
        </w:rPr>
        <w:t>По счету бухгалтерского учета 0 401 10 191 (КВФО 4,5) отражена безвозмездная передача имущества между учреждениями, разного уровня бюджетов, а именно передача от ГБУК НО "Нижегородская Государственная областная универсальная научная библиотека им. В.И.Ленина" журналов МБУК ЦГБ им. В. Маяковского города Сарова на сумму 7 313,08 руб., в том числе:</w:t>
      </w:r>
      <w:proofErr w:type="gramEnd"/>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- 0801 0000000000 197 4 401 10 191 +574,00 руб.</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- 0801 0000000000 197 5 401 10 191 +6 739,08 руб.</w:t>
      </w:r>
    </w:p>
    <w:p w:rsidR="0058289F" w:rsidRDefault="000E21EF">
      <w:pPr>
        <w:ind w:firstLine="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Взаимные расчеты между учреждениями выверены.</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Форма 0503768</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«Сведения о движении нефинансовых активов учреждения»</w:t>
      </w:r>
    </w:p>
    <w:p w:rsidR="0058289F" w:rsidRDefault="000E21EF">
      <w:pPr>
        <w:ind w:firstLine="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Согласно показателям, отраженным в форме 0503768 по видам финансового обеспечения (КВФО 2,4), оценка имущественного положения муниципальных бюджетных учреждений города Сарова на 01 января 2026 года составляет 9 846 287 611,74 руб.</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На 01 января 2026 года произошло увеличение стоимости основных средств на 3 216 126 246,95 руб. (49 %).</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i/>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На начало года произошло изменение остатков.</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Причина изменения - исправление ошибок прошлых лет.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Форма 0503769</w:t>
      </w:r>
    </w:p>
    <w:p w:rsidR="0058289F" w:rsidRDefault="000E21EF">
      <w:pPr>
        <w:ind w:firstLine="3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«Сведения о дебиторской и кредиторской задолженности учреждения»</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Сведения о дебиторской и кредиторской задолженности по состоянию на 01 января 2026 года отражены в форме 0503769 по видам деятельности.</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Анализируя показатели формы, общая дебиторская задолженность по муниципальным бюджетным учреждениям по состоянию на 01 января 2026 года составляет 12 435 314 381,66 руб., в том числе по видам деятельности:</w:t>
      </w:r>
    </w:p>
    <w:p w:rsidR="0058289F" w:rsidRDefault="000E21EF">
      <w:pPr>
        <w:ind w:left="540" w:firstLine="1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собственные доходы учреждения – 32 026 534,55 руб.</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roofErr w:type="gramStart"/>
      <w:r>
        <w:rPr>
          <w:rFonts w:ascii="DejaVu Serif" w:eastAsia="DejaVu Serif" w:hAnsi="DejaVu Serif" w:cs="DejaVu Serif"/>
          <w:color w:val="000000"/>
          <w:sz w:val="28"/>
          <w:szCs w:val="28"/>
        </w:rPr>
        <w:t xml:space="preserve">- субсидии на выполнение муниципального задания – 11 938 986 181,61 руб., в том числе по счету 420531001 в сумме 11 924 306 590,00 руб. отражено начисление подведомственными учреждениями доходов будущих периодов по соглашениям о предоставлении субсидий в 2026 году и плановых периодах 2027-2028 гг. на финансовое обеспечение выполнения муниципального задания в </w:t>
      </w:r>
      <w:r>
        <w:rPr>
          <w:rFonts w:ascii="DejaVu Serif" w:eastAsia="DejaVu Serif" w:hAnsi="DejaVu Serif" w:cs="DejaVu Serif"/>
          <w:color w:val="000000"/>
          <w:sz w:val="28"/>
          <w:szCs w:val="28"/>
        </w:rPr>
        <w:lastRenderedPageBreak/>
        <w:t>очередном финансовом году и на первый, второй год, следующих за</w:t>
      </w:r>
      <w:proofErr w:type="gramEnd"/>
      <w:r>
        <w:rPr>
          <w:rFonts w:ascii="DejaVu Serif" w:eastAsia="DejaVu Serif" w:hAnsi="DejaVu Serif" w:cs="DejaVu Serif"/>
          <w:color w:val="000000"/>
          <w:sz w:val="28"/>
          <w:szCs w:val="28"/>
        </w:rPr>
        <w:t xml:space="preserve"> </w:t>
      </w:r>
      <w:proofErr w:type="gramStart"/>
      <w:r>
        <w:rPr>
          <w:rFonts w:ascii="DejaVu Serif" w:eastAsia="DejaVu Serif" w:hAnsi="DejaVu Serif" w:cs="DejaVu Serif"/>
          <w:color w:val="000000"/>
          <w:sz w:val="28"/>
          <w:szCs w:val="28"/>
        </w:rPr>
        <w:t>отчетным</w:t>
      </w:r>
      <w:proofErr w:type="gramEnd"/>
      <w:r>
        <w:rPr>
          <w:rFonts w:ascii="DejaVu Serif" w:eastAsia="DejaVu Serif" w:hAnsi="DejaVu Serif" w:cs="DejaVu Serif"/>
          <w:color w:val="000000"/>
          <w:sz w:val="28"/>
          <w:szCs w:val="28"/>
        </w:rPr>
        <w:t xml:space="preserve"> (3 года планового периода) начисления доходов).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roofErr w:type="gramStart"/>
      <w:r>
        <w:rPr>
          <w:rFonts w:ascii="DejaVu Serif" w:eastAsia="DejaVu Serif" w:hAnsi="DejaVu Serif" w:cs="DejaVu Serif"/>
          <w:color w:val="000000"/>
          <w:sz w:val="28"/>
          <w:szCs w:val="28"/>
        </w:rPr>
        <w:t>- субсидии на иные цели – 464 301 665,50 руб., в том числе по счету 520552001 в сумме 281 267 716,84 руб. и по счету 520562001 в сумме 90 222 283,35 руб. отражено начисление подведомственными учреждениями доходов будущих периодов по соглашениям о предоставлении субсидий в 2026 году и плановых периодах 2027-2028 гг. на финансовое обеспечение выполнения деятельности, осуществляемой за счет средств субсидии</w:t>
      </w:r>
      <w:proofErr w:type="gramEnd"/>
      <w:r>
        <w:rPr>
          <w:rFonts w:ascii="DejaVu Serif" w:eastAsia="DejaVu Serif" w:hAnsi="DejaVu Serif" w:cs="DejaVu Serif"/>
          <w:color w:val="000000"/>
          <w:sz w:val="28"/>
          <w:szCs w:val="28"/>
        </w:rPr>
        <w:t xml:space="preserve"> на иные цели в очередном финансовом году и на первый, второй год, следующих за </w:t>
      </w:r>
      <w:proofErr w:type="gramStart"/>
      <w:r>
        <w:rPr>
          <w:rFonts w:ascii="DejaVu Serif" w:eastAsia="DejaVu Serif" w:hAnsi="DejaVu Serif" w:cs="DejaVu Serif"/>
          <w:color w:val="000000"/>
          <w:sz w:val="28"/>
          <w:szCs w:val="28"/>
        </w:rPr>
        <w:t>отчетным</w:t>
      </w:r>
      <w:proofErr w:type="gramEnd"/>
      <w:r>
        <w:rPr>
          <w:rFonts w:ascii="DejaVu Serif" w:eastAsia="DejaVu Serif" w:hAnsi="DejaVu Serif" w:cs="DejaVu Serif"/>
          <w:color w:val="000000"/>
          <w:sz w:val="28"/>
          <w:szCs w:val="28"/>
        </w:rPr>
        <w:t xml:space="preserve"> (3 года планового периода) начисления доходов).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roofErr w:type="gramStart"/>
      <w:r>
        <w:rPr>
          <w:rFonts w:ascii="DejaVu Serif" w:eastAsia="DejaVu Serif" w:hAnsi="DejaVu Serif" w:cs="DejaVu Serif"/>
          <w:color w:val="000000"/>
          <w:sz w:val="28"/>
          <w:szCs w:val="28"/>
        </w:rPr>
        <w:t>По состоянию на 01 января 2026 года дебиторская задолженность увеличилась на 1 237 761 988,20 рублей (11%), в основном за счет увеличения начислений подведомственными учреждениями доходов будущих периодов по соглашениям о предоставлении субсидий в 2026 году и плановых периодах 2027-2028 гг. на финансовое обеспечение выполнения муниципального задания (1 130 086 537,00 руб.- 10%).  </w:t>
      </w:r>
      <w:proofErr w:type="gramEnd"/>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Просроченная дебиторская задолженность на 01 января 2026 года отсутствует.</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Общая кредиторская задолженность муниципальных бюджетных учреждений по состоянию на 01 января 2025  года составляет 42 354 902,37 руб., в том числе по видам деятельности:</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собственные доходы учреждения –  38 011 874,34 руб.</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субсидии на выполнение муниципального задания – 162 439,61 руб.</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субсидии на иные цели – 4 180 588,42 руб., в том числе  </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 состоянию на 01 января 2026 года кредиторская задолженность уменьшилась на 142 146 881,47 руб. Просроченная кредиторская задолженность на 01 января 2026 года отсутствует.</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Кредиторская задолженность муниципальных бюджетных учреждений города Сарова на 01 января 2026 года носит текущий характер.</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В течение 2025 года велась активная работа по сокращению кредиторской задолженности.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Форма 0503773</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«Сведения об изменении остатков валюты баланса учреждения»</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 состоянию на 01 января 2025 года остаток валюты баланса имеет изменения.</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color w:val="000000"/>
          <w:sz w:val="28"/>
          <w:szCs w:val="28"/>
          <w:u w:val="single"/>
        </w:rPr>
        <w:t>Деятельность по муниципальному заданию КВФО-2,4.</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lastRenderedPageBreak/>
        <w:t> На 01 января 2025 года изменились показатели Баланса форма 0503730, формы 0503768, 0503769.</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Форма 0503779</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«Сведения об остатках денежных средств учреждения»</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Сведения об остатках денежных средств учреждения на 01 января 2026 года отражены в форме 0503779 по видам деятельности.</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Анализируя показатели формы, общий остаток средств на лицевых счетах муниципальных бюджетных учреждений, открытых Департаментом финансов Администрации г. Саров по состоянию на 01 января 2026 года составляет 352 800 710,90 руб., в том числе по видам деятельности:</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средства во временном распоряжении – 1 542 736,91 руб.</w:t>
      </w:r>
      <w:r>
        <w:rPr>
          <w:rFonts w:ascii="DejaVu Serif" w:eastAsia="DejaVu Serif" w:hAnsi="DejaVu Serif" w:cs="DejaVu Serif"/>
          <w:color w:val="FF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Остаток денежных средств образовался за счет поступления средств от поставщиков в размере обеспечения исполнения муниципальных контрактов. После исполнения контрактов средства будут возвращены поставщикам; </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 приносящая доход деятельность (собственные доходы учреждений) – 61 773 996,58 руб. Образование остатка средств на счетах связано с оплатой принятых обязательств </w:t>
      </w:r>
      <w:proofErr w:type="gramStart"/>
      <w:r>
        <w:rPr>
          <w:rFonts w:ascii="DejaVu Serif" w:eastAsia="DejaVu Serif" w:hAnsi="DejaVu Serif" w:cs="DejaVu Serif"/>
          <w:color w:val="000000"/>
          <w:sz w:val="28"/>
          <w:szCs w:val="28"/>
        </w:rPr>
        <w:t>в</w:t>
      </w:r>
      <w:proofErr w:type="gramEnd"/>
      <w:r>
        <w:rPr>
          <w:rFonts w:ascii="DejaVu Serif" w:eastAsia="DejaVu Serif" w:hAnsi="DejaVu Serif" w:cs="DejaVu Serif"/>
          <w:color w:val="000000"/>
          <w:sz w:val="28"/>
          <w:szCs w:val="28"/>
        </w:rPr>
        <w:t xml:space="preserve"> </w:t>
      </w:r>
      <w:proofErr w:type="gramStart"/>
      <w:r>
        <w:rPr>
          <w:rFonts w:ascii="DejaVu Serif" w:eastAsia="DejaVu Serif" w:hAnsi="DejaVu Serif" w:cs="DejaVu Serif"/>
          <w:color w:val="000000"/>
          <w:sz w:val="28"/>
          <w:szCs w:val="28"/>
        </w:rPr>
        <w:t>следующим</w:t>
      </w:r>
      <w:proofErr w:type="gramEnd"/>
      <w:r>
        <w:rPr>
          <w:rFonts w:ascii="DejaVu Serif" w:eastAsia="DejaVu Serif" w:hAnsi="DejaVu Serif" w:cs="DejaVu Serif"/>
          <w:color w:val="000000"/>
          <w:sz w:val="28"/>
          <w:szCs w:val="28"/>
        </w:rPr>
        <w:t xml:space="preserve"> году и за счет экономии средств.</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Остаток денежных средств будет направлен на оплату принятых обязательств следующего года и на проведение </w:t>
      </w:r>
      <w:proofErr w:type="spellStart"/>
      <w:proofErr w:type="gramStart"/>
      <w:r>
        <w:rPr>
          <w:rFonts w:ascii="DejaVu Serif" w:eastAsia="DejaVu Serif" w:hAnsi="DejaVu Serif" w:cs="DejaVu Serif"/>
          <w:color w:val="000000"/>
          <w:sz w:val="28"/>
          <w:szCs w:val="28"/>
        </w:rPr>
        <w:t>ремонтно</w:t>
      </w:r>
      <w:proofErr w:type="spellEnd"/>
      <w:r>
        <w:rPr>
          <w:rFonts w:ascii="DejaVu Serif" w:eastAsia="DejaVu Serif" w:hAnsi="DejaVu Serif" w:cs="DejaVu Serif"/>
          <w:color w:val="000000"/>
          <w:sz w:val="28"/>
          <w:szCs w:val="28"/>
        </w:rPr>
        <w:t xml:space="preserve"> - восстановительных</w:t>
      </w:r>
      <w:proofErr w:type="gramEnd"/>
      <w:r>
        <w:rPr>
          <w:rFonts w:ascii="DejaVu Serif" w:eastAsia="DejaVu Serif" w:hAnsi="DejaVu Serif" w:cs="DejaVu Serif"/>
          <w:color w:val="000000"/>
          <w:sz w:val="28"/>
          <w:szCs w:val="28"/>
        </w:rPr>
        <w:t xml:space="preserve"> работ объектов социальной сферы и городского хозяйства;</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деятельность по субсидии на выполнение муниципального задания – 283 509 541,14 руб.</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roofErr w:type="gramStart"/>
      <w:r>
        <w:rPr>
          <w:rFonts w:ascii="DejaVu Serif" w:eastAsia="DejaVu Serif" w:hAnsi="DejaVu Serif" w:cs="DejaVu Serif"/>
          <w:color w:val="000000"/>
          <w:sz w:val="28"/>
          <w:szCs w:val="28"/>
        </w:rPr>
        <w:t>Остаток денежных средств образовался за счет экономии по заработной плате за счет выплат по больничным листам, уменьшения расходов по начислениям на выплаты по оплате труда, в связи с применением регрессивной шкалы при расчетах страховых взносов и выплатой сумм, не подлежащих налогообложению, за счет оплаты коммунальных услуг и услуг на содержание имущества и прочих услуг, произведенных по фактически предъявленным документам, за</w:t>
      </w:r>
      <w:proofErr w:type="gramEnd"/>
      <w:r>
        <w:rPr>
          <w:rFonts w:ascii="DejaVu Serif" w:eastAsia="DejaVu Serif" w:hAnsi="DejaVu Serif" w:cs="DejaVu Serif"/>
          <w:color w:val="000000"/>
          <w:sz w:val="28"/>
          <w:szCs w:val="28"/>
        </w:rPr>
        <w:t xml:space="preserve"> счет не исполнения подрядчиками принятых обязательств в текущем году и переходом их на следующий финансовый год, за счет экономии сре</w:t>
      </w:r>
      <w:proofErr w:type="gramStart"/>
      <w:r>
        <w:rPr>
          <w:rFonts w:ascii="DejaVu Serif" w:eastAsia="DejaVu Serif" w:hAnsi="DejaVu Serif" w:cs="DejaVu Serif"/>
          <w:color w:val="000000"/>
          <w:sz w:val="28"/>
          <w:szCs w:val="28"/>
        </w:rPr>
        <w:t>дств в х</w:t>
      </w:r>
      <w:proofErr w:type="gramEnd"/>
      <w:r>
        <w:rPr>
          <w:rFonts w:ascii="DejaVu Serif" w:eastAsia="DejaVu Serif" w:hAnsi="DejaVu Serif" w:cs="DejaVu Serif"/>
          <w:color w:val="000000"/>
          <w:sz w:val="28"/>
          <w:szCs w:val="28"/>
        </w:rPr>
        <w:t xml:space="preserve">оде закупок товаров, работ, услуг в соответствии с требованиями ФЗ от 05.04.2013 № 44-ФЗ (содержание имущества, основные средства, материальные запасы). </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Остаток денежных средств будет направлен на оплату обязатель</w:t>
      </w:r>
      <w:proofErr w:type="gramStart"/>
      <w:r>
        <w:rPr>
          <w:rFonts w:ascii="DejaVu Serif" w:eastAsia="DejaVu Serif" w:hAnsi="DejaVu Serif" w:cs="DejaVu Serif"/>
          <w:color w:val="000000"/>
          <w:sz w:val="28"/>
          <w:szCs w:val="28"/>
        </w:rPr>
        <w:t>ств сл</w:t>
      </w:r>
      <w:proofErr w:type="gramEnd"/>
      <w:r>
        <w:rPr>
          <w:rFonts w:ascii="DejaVu Serif" w:eastAsia="DejaVu Serif" w:hAnsi="DejaVu Serif" w:cs="DejaVu Serif"/>
          <w:color w:val="000000"/>
          <w:sz w:val="28"/>
          <w:szCs w:val="28"/>
        </w:rPr>
        <w:t>едующего года, на содержание и текущий ремонт зданий и сооружений, проведение противопожарных мероприятий в образовательных учреждениях и антитеррористические мероприятия, включая ремонт ПРУ. На обеспечение мер поддержки участников СВО и членов их семей, в части обеспечения бесплатного посещения детьми дошкольных учреждений, учреждений дополнительного образования и спортивных секций.</w:t>
      </w:r>
    </w:p>
    <w:p w:rsidR="0058289F" w:rsidRDefault="000E21EF">
      <w:pPr>
        <w:ind w:left="700"/>
        <w:jc w:val="both"/>
        <w:rPr>
          <w:rFonts w:ascii="Times New Roman" w:eastAsia="Times New Roman" w:hAnsi="Times New Roman" w:cs="Times New Roman"/>
          <w:sz w:val="24"/>
        </w:rPr>
      </w:pPr>
      <w:r>
        <w:rPr>
          <w:rFonts w:ascii="DejaVu Serif" w:eastAsia="DejaVu Serif" w:hAnsi="DejaVu Serif" w:cs="DejaVu Serif"/>
          <w:color w:val="000000"/>
          <w:sz w:val="28"/>
          <w:szCs w:val="28"/>
        </w:rPr>
        <w:lastRenderedPageBreak/>
        <w:t> - деятельность с целевыми средствами – 5 974 436,27 руб. в том числе:</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326 870,32 руб., - остаток средств на выплату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 по причине болезни работников;</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108 032,41 руб. – остаток средств на оплату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по причине болезни работников.</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832 973,94 руб., - остаток средств на выплату ежемесячного денежного вознаграждения за классное руководство педагогическим работникам по причине болезни работников;</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2 594 093,13 руб., – остаток средств на организацию бесплатного горячего питания обучающихся, получающих начальное общее образование по причине проведения карантинных мероприятий </w:t>
      </w:r>
      <w:proofErr w:type="gramStart"/>
      <w:r>
        <w:rPr>
          <w:rFonts w:ascii="DejaVu Serif" w:eastAsia="DejaVu Serif" w:hAnsi="DejaVu Serif" w:cs="DejaVu Serif"/>
          <w:color w:val="000000"/>
          <w:sz w:val="28"/>
          <w:szCs w:val="28"/>
        </w:rPr>
        <w:t>о</w:t>
      </w:r>
      <w:proofErr w:type="gramEnd"/>
      <w:r>
        <w:rPr>
          <w:rFonts w:ascii="DejaVu Serif" w:eastAsia="DejaVu Serif" w:hAnsi="DejaVu Serif" w:cs="DejaVu Serif"/>
          <w:color w:val="000000"/>
          <w:sz w:val="28"/>
          <w:szCs w:val="28"/>
        </w:rPr>
        <w:t xml:space="preserve"> отсутствия обучающихся по болезни, в том числе 1 796 153,46 руб. - средства федерального бюджета, 627 062,72 руб. – средства областного бюджета и 170 876,95 руб. средства местного бюджета.</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Контракты (договора) в отчетном периоде заключались в соответствии с утвержденными планами-графиками закупок. </w:t>
      </w:r>
      <w:proofErr w:type="gramStart"/>
      <w:r>
        <w:rPr>
          <w:rFonts w:ascii="DejaVu Serif" w:eastAsia="DejaVu Serif" w:hAnsi="DejaVu Serif" w:cs="DejaVu Serif"/>
          <w:color w:val="000000"/>
          <w:sz w:val="28"/>
          <w:szCs w:val="28"/>
        </w:rPr>
        <w:t>Расход денежных средств осуществлялся на основании договоров, заключенных в соответствии с конкурсными процедурами, проведенными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Фактов превышения подведомственными учреждениями объемов денежных обязательств по заключенным контрактам над доведенными объемами субсидий не установлено.</w:t>
      </w:r>
      <w:proofErr w:type="gramEnd"/>
      <w:r>
        <w:rPr>
          <w:rFonts w:ascii="DejaVu Serif" w:eastAsia="DejaVu Serif" w:hAnsi="DejaVu Serif" w:cs="DejaVu Serif"/>
          <w:color w:val="000000"/>
          <w:sz w:val="28"/>
          <w:szCs w:val="28"/>
        </w:rPr>
        <w:t xml:space="preserve"> Средства в сумме  3 861 969,80 руб. будут возвращены в бюджет.</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318 618,62 руб. – расходы на "Капитальный ремонт, проектно-изыскательские работы и разработка проектно-сметной документации объектов образования". Остаток в сумме 318 618,62 руб. образовался за счет предоставление подрядчиком документов для оплаты 30.12.2025. Кредиторская задолженность на конец года. Остатки будут направлены </w:t>
      </w:r>
      <w:proofErr w:type="gramStart"/>
      <w:r>
        <w:rPr>
          <w:rFonts w:ascii="DejaVu Serif" w:eastAsia="DejaVu Serif" w:hAnsi="DejaVu Serif" w:cs="DejaVu Serif"/>
          <w:color w:val="000000"/>
          <w:sz w:val="28"/>
          <w:szCs w:val="28"/>
        </w:rPr>
        <w:t>на те</w:t>
      </w:r>
      <w:proofErr w:type="gramEnd"/>
      <w:r>
        <w:rPr>
          <w:rFonts w:ascii="DejaVu Serif" w:eastAsia="DejaVu Serif" w:hAnsi="DejaVu Serif" w:cs="DejaVu Serif"/>
          <w:color w:val="000000"/>
          <w:sz w:val="28"/>
          <w:szCs w:val="28"/>
        </w:rPr>
        <w:t xml:space="preserve"> же цели.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1 793 847,85 руб. - расходы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Перечисление субсидии на иные цели осуществляется на основании заявления бюджетного учреждения с приложением документом, подтверждающих возникновение обязательств. Оплата расходов по фактически предъявленным документам. Остатки будут направлены </w:t>
      </w:r>
      <w:proofErr w:type="gramStart"/>
      <w:r>
        <w:rPr>
          <w:rFonts w:ascii="DejaVu Serif" w:eastAsia="DejaVu Serif" w:hAnsi="DejaVu Serif" w:cs="DejaVu Serif"/>
          <w:color w:val="000000"/>
          <w:sz w:val="28"/>
          <w:szCs w:val="28"/>
        </w:rPr>
        <w:t>на те</w:t>
      </w:r>
      <w:proofErr w:type="gramEnd"/>
      <w:r>
        <w:rPr>
          <w:rFonts w:ascii="DejaVu Serif" w:eastAsia="DejaVu Serif" w:hAnsi="DejaVu Serif" w:cs="DejaVu Serif"/>
          <w:color w:val="000000"/>
          <w:sz w:val="28"/>
          <w:szCs w:val="28"/>
        </w:rPr>
        <w:t xml:space="preserve"> же цели.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Форма 0503738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«Отчет об обязательствах учреждения»</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lastRenderedPageBreak/>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Объем заключаемых контрактов по учреждениям соответствует утвержденному плану графику на 2025 год по состоянию на 01 января 2026 года. Отклонений от утвержденного плана графика нет, так как в случае изменений сроков по осуществлению закупок в план график вносятся соответствующие изменения.</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Расходы учреждениями на закупки осуществляются с учетом не только экономного расходования, но и эффективного, то есть муниципальные контракты (договоры) заключаются на лучших условиях, а именно: проводятся электронные аукционы, запросы котировок цен.</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 отчетах об обязательствах, принятых учреждениями, объем принятых обязательств и денежных обязательств не превышает утвержденных плановых назначений на 2025 год.</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Всего за 2025 году было заключено муниципальных контрактов (договоров) с применением конкурентных способов на сумму 795 805 428,11 руб.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Бюджет города Сарова формируется на три года: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Решением Городской Думы города Сарова от 10.12.2024 № 98/7-гд «О бюджете города Сарова на 2025 год и на плановый период 2026 и 2027 годов» » с учетом внесенных изменений.</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Решением Городской Думы города Сарова от 09.12.2025 № 51/8-гд «О бюджете города Сарова на 2026 год и на плановый период 2027 и 2028 годов».</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 разделе 3 отчета о бюджетных обязательствах показатели кода строки 700 графы 4 отражены утвержденные плановые назначения на 2026 год и на плановый период 2027 и 2028 годов.</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Показатели кода строки 700 графы 6 раздела 3 включают обязательства по резервам предстоящих расходов и принятых обязательств в текущем (отчетном) финансовом году на очередной финансовый год.</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Показатели кода строки 700 граф 6-7 раздела 3 включают объем бюджетных обязательств, принятых учреждениями со сроком исполнения с 01 января 2026 года, в том числе с применением конкурентных способов.</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Форма 0503775</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r>
        <w:rPr>
          <w:rFonts w:ascii="DejaVu Serif" w:eastAsia="DejaVu Serif" w:hAnsi="DejaVu Serif" w:cs="DejaVu Serif"/>
          <w:b/>
          <w:color w:val="000000"/>
          <w:sz w:val="28"/>
          <w:szCs w:val="28"/>
        </w:rPr>
        <w:t>«Сведения о принятых и неисполненных обязательствах»</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Показатели формы отражают показатели раздела 1 «Обязательства текущего (отчетного) финансового года по расходам» Отчета ф. 0503738 по обязательствам.</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Раздел 1.</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 состоянию на 01 января 2026 года не исполнено принятых обязательств на сумму более 1 млн. рублей по одному контрагенту в сумме 113 530 053,12 руб. за счет:</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lastRenderedPageBreak/>
        <w:t> - код 03 – КОСГУ 222,223,224,344 несвоевременность представления исполнителями работ, (поставщиками, подрядчиками) документов для расчетов - неисполнения принятых обязательств по контрактам (договорам) по оказанию транспортных и коммунальных услуг в основном за декабрь 2025 года.</w:t>
      </w:r>
    </w:p>
    <w:p w:rsidR="0058289F" w:rsidRDefault="000E21EF">
      <w:pPr>
        <w:ind w:firstLine="8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 код 02 – КОСГУ 225,226,228,343 неисполнение контрагентом обязательств по поставке товаров, </w:t>
      </w:r>
      <w:proofErr w:type="gramStart"/>
      <w:r>
        <w:rPr>
          <w:rFonts w:ascii="DejaVu Serif" w:eastAsia="DejaVu Serif" w:hAnsi="DejaVu Serif" w:cs="DejaVu Serif"/>
          <w:color w:val="000000"/>
          <w:sz w:val="28"/>
          <w:szCs w:val="28"/>
        </w:rPr>
        <w:t>выполнении</w:t>
      </w:r>
      <w:proofErr w:type="gramEnd"/>
      <w:r>
        <w:rPr>
          <w:rFonts w:ascii="DejaVu Serif" w:eastAsia="DejaVu Serif" w:hAnsi="DejaVu Serif" w:cs="DejaVu Serif"/>
          <w:color w:val="000000"/>
          <w:sz w:val="28"/>
          <w:szCs w:val="28"/>
        </w:rPr>
        <w:t xml:space="preserve"> работ и оказании услуг - неисполнения принятых обязательств по контрактам.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Раздел 2.</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roofErr w:type="gramStart"/>
      <w:r>
        <w:rPr>
          <w:rFonts w:ascii="DejaVu Serif" w:eastAsia="DejaVu Serif" w:hAnsi="DejaVu Serif" w:cs="DejaVu Serif"/>
          <w:color w:val="000000"/>
          <w:sz w:val="28"/>
          <w:szCs w:val="28"/>
        </w:rPr>
        <w:t>По состоянию на 01 января 2026 года не исполненных принятых денежных обязательств на сумму более 1 млн. рублей по одному контрагенту в сумме 26 546 144,15 руб. по коду 72 - КОСГУ 222,224,344 несвоевременность представления исполнителями работ, (поставщиками, подрядчиками) документов для расчетов - неисполнения принятых обязательств по контрактам (договорам) по оказанию транспортных услуг, аренды и материальным запасам в основном за декабрь 2025</w:t>
      </w:r>
      <w:proofErr w:type="gramEnd"/>
      <w:r>
        <w:rPr>
          <w:rFonts w:ascii="DejaVu Serif" w:eastAsia="DejaVu Serif" w:hAnsi="DejaVu Serif" w:cs="DejaVu Serif"/>
          <w:color w:val="000000"/>
          <w:sz w:val="28"/>
          <w:szCs w:val="28"/>
        </w:rPr>
        <w:t xml:space="preserve"> года.</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Раздел 3.</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 отчетах об обязательствах, принятых учреждением объем принятых обязательств и денежных обязательств не превышает утвержденных плановых назначений на 2025 год.</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Раздел 4.</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Всего в 2025 году было заключено муниципальных контрактов (договоров) с применением конкурентных способов на сумму 795 805 428,11 руб. При проведении торгов учреждениями сэкономлено бюджетных средств на сумму 45 052 819,61 руб. Средства от экономии были направлены на приобретение нефинансовых активов.</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Форма 0503772</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r>
        <w:rPr>
          <w:rFonts w:ascii="DejaVu Serif" w:eastAsia="DejaVu Serif" w:hAnsi="DejaVu Serif" w:cs="DejaVu Serif"/>
          <w:b/>
          <w:color w:val="000000"/>
          <w:sz w:val="28"/>
          <w:szCs w:val="28"/>
        </w:rPr>
        <w:t>«Сведения о суммах заимствований»</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Раздел 2. Сведения о суммах полученных заимствований</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По состоянию на 01 января 2026 года сумма полученных заимствований составляет 21 290 199,38 руб.  Заимствования на 01 января 2026 года уменьшилась по сравнению с данными прошлого отчетного периода на 28 361 968,13 руб. (43 %) за счет погашения займов в 2025 году.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Заемщик долговых обязательств в сумме 21 290 199,38 руб. является Муниципальное Унитарное Дорожно-Эксплуатационное Предприятие города Сарова, которое</w:t>
      </w:r>
      <w:r>
        <w:rPr>
          <w:rFonts w:ascii="DejaVu Serif" w:eastAsia="DejaVu Serif" w:hAnsi="DejaVu Serif" w:cs="DejaVu Serif"/>
          <w:color w:val="FF0000"/>
          <w:sz w:val="28"/>
          <w:szCs w:val="28"/>
        </w:rPr>
        <w:t xml:space="preserve"> </w:t>
      </w:r>
      <w:r>
        <w:rPr>
          <w:rFonts w:ascii="DejaVu Serif" w:eastAsia="DejaVu Serif" w:hAnsi="DejaVu Serif" w:cs="DejaVu Serif"/>
          <w:color w:val="000000"/>
          <w:sz w:val="28"/>
          <w:szCs w:val="28"/>
        </w:rPr>
        <w:t xml:space="preserve">28 декабря 2024 года было реорганизовано в форме преобразования Муниципального Унитарного Дорожно-Эксплуатационного </w:t>
      </w:r>
      <w:r>
        <w:rPr>
          <w:rFonts w:ascii="DejaVu Serif" w:eastAsia="DejaVu Serif" w:hAnsi="DejaVu Serif" w:cs="DejaVu Serif"/>
          <w:color w:val="000000"/>
          <w:sz w:val="28"/>
          <w:szCs w:val="28"/>
        </w:rPr>
        <w:lastRenderedPageBreak/>
        <w:t xml:space="preserve">Предприятия в Муниципальное бюджетное учреждение «Служба городской инфраструктуры».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Раздел 3. Аналитическая информация о заимствованиях учреждения</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Заимодавцы - предприятия (МУП, АО, ООО) города Сарова.</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Срок погашения задолженности 2026 год.</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Форма 0503738-НП</w:t>
      </w:r>
    </w:p>
    <w:p w:rsidR="0058289F" w:rsidRDefault="000E21EF">
      <w:pPr>
        <w:ind w:firstLine="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«Отчет об обязательствах учреждения»</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 отчете отражены обязательства по национальным проектам.</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roofErr w:type="gramStart"/>
      <w:r>
        <w:rPr>
          <w:rFonts w:ascii="DejaVu Serif" w:eastAsia="DejaVu Serif" w:hAnsi="DejaVu Serif" w:cs="DejaVu Serif"/>
          <w:b/>
          <w:color w:val="000000"/>
          <w:sz w:val="28"/>
          <w:szCs w:val="28"/>
        </w:rPr>
        <w:t>Ю</w:t>
      </w:r>
      <w:proofErr w:type="gramEnd"/>
      <w:r>
        <w:rPr>
          <w:rFonts w:ascii="DejaVu Serif" w:eastAsia="DejaVu Serif" w:hAnsi="DejaVu Serif" w:cs="DejaVu Serif"/>
          <w:b/>
          <w:color w:val="000000"/>
          <w:sz w:val="28"/>
          <w:szCs w:val="28"/>
        </w:rPr>
        <w:t xml:space="preserve"> Образование</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roofErr w:type="gramStart"/>
      <w:r>
        <w:rPr>
          <w:rFonts w:ascii="DejaVu Serif" w:eastAsia="DejaVu Serif" w:hAnsi="DejaVu Serif" w:cs="DejaVu Serif"/>
          <w:b/>
          <w:color w:val="000000"/>
          <w:sz w:val="28"/>
          <w:szCs w:val="28"/>
        </w:rPr>
        <w:t>Ю</w:t>
      </w:r>
      <w:proofErr w:type="gramEnd"/>
      <w:r>
        <w:rPr>
          <w:rFonts w:ascii="DejaVu Serif" w:eastAsia="DejaVu Serif" w:hAnsi="DejaVu Serif" w:cs="DejaVu Serif"/>
          <w:b/>
          <w:color w:val="000000"/>
          <w:sz w:val="28"/>
          <w:szCs w:val="28"/>
        </w:rPr>
        <w:t xml:space="preserve"> Федеральный проект «Педагоги и наставники»</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roofErr w:type="gramStart"/>
      <w:r>
        <w:rPr>
          <w:rFonts w:ascii="DejaVu Serif" w:eastAsia="DejaVu Serif" w:hAnsi="DejaVu Serif" w:cs="DejaVu Serif"/>
          <w:color w:val="000000"/>
          <w:sz w:val="28"/>
          <w:szCs w:val="28"/>
        </w:rPr>
        <w:t>В рамках национальных проектов Министерством образования и науки Нижегородской области до Департамента образования Администрации г. Саров доведены бюджетные назначения на 2025 год по иным межбюджетным трансфертам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 в сумме 4 017 641,28 руб., и за счет средств</w:t>
      </w:r>
      <w:proofErr w:type="gramEnd"/>
      <w:r>
        <w:rPr>
          <w:rFonts w:ascii="DejaVu Serif" w:eastAsia="DejaVu Serif" w:hAnsi="DejaVu Serif" w:cs="DejaVu Serif"/>
          <w:color w:val="000000"/>
          <w:sz w:val="28"/>
          <w:szCs w:val="28"/>
        </w:rPr>
        <w:t xml:space="preserve"> областного бюджета в сумме 167 401,72 руб., в рамках реализации национального проекта «Педагоги и наставники».</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На 2025 год Департаментом образования заключены соглашения с подведомственными учреждениями, участвующими в реализации национального проекта «Педагоги и наставники».</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 2025 году результат исполнения достижения целей предоставления иного межбюджетного трансферта – проведение мероприятия по обеспечению деятельности советников директора по воспитанию и взаимодействию с детскими общественными объединениями в 15 общеобразовательных организациях составил 100%.</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Утвержденные плановые назначения на 2026-2028 гг. отсутствуют, так как по состоянию на 01.01.2026 соглашения с подведомственными учреждениями не заключены.</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roofErr w:type="gramStart"/>
      <w:r>
        <w:rPr>
          <w:rFonts w:ascii="DejaVu Serif" w:eastAsia="DejaVu Serif" w:hAnsi="DejaVu Serif" w:cs="DejaVu Serif"/>
          <w:color w:val="000000"/>
          <w:sz w:val="28"/>
          <w:szCs w:val="28"/>
        </w:rPr>
        <w:t xml:space="preserve">В рамках национальных проектов Министерством образования и науки Нижегородской области до Департамента образования Администрации г. Саров доведены бюджетные назначения на 2025 год по 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w:t>
      </w:r>
      <w:r>
        <w:rPr>
          <w:rFonts w:ascii="DejaVu Serif" w:eastAsia="DejaVu Serif" w:hAnsi="DejaVu Serif" w:cs="DejaVu Serif"/>
          <w:color w:val="000000"/>
          <w:sz w:val="28"/>
          <w:szCs w:val="28"/>
        </w:rPr>
        <w:lastRenderedPageBreak/>
        <w:t>общеобразовательных организаций за счет средств федерального бюджета в сумме 1 099 680,00 руб. в рамках</w:t>
      </w:r>
      <w:proofErr w:type="gramEnd"/>
      <w:r>
        <w:rPr>
          <w:rFonts w:ascii="DejaVu Serif" w:eastAsia="DejaVu Serif" w:hAnsi="DejaVu Serif" w:cs="DejaVu Serif"/>
          <w:color w:val="000000"/>
          <w:sz w:val="28"/>
          <w:szCs w:val="28"/>
        </w:rPr>
        <w:t xml:space="preserve"> реализации национального проекта «"Педагоги и наставники".</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На 2025 год Департаментом образования заключены соглашения с подведомственными учреждениями, участвующими в реализации национального проекта «Педагоги и наставники».</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 2025 году 15 советников директора по воспитанию и взаимодействию с детскими общественными объединениями муниципальных общеобразовательных учреждений получили денежное вознаграждение в полном объеме.</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Утвержденные плановые назначения на 2026-2028 гг. отсутствуют, так как по состоянию на 01.01.2026 соглашения с подведомственными учреждениями не заключены.</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roofErr w:type="gramStart"/>
      <w:r>
        <w:rPr>
          <w:rFonts w:ascii="DejaVu Serif" w:eastAsia="DejaVu Serif" w:hAnsi="DejaVu Serif" w:cs="DejaVu Serif"/>
          <w:color w:val="000000"/>
          <w:sz w:val="28"/>
          <w:szCs w:val="28"/>
        </w:rPr>
        <w:t>В рамках национальных проектов Министерством образования и науки Нижегородской области до Департамента образования Администрации г. Саров доведены бюджетные назначения на 2025 год по 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w:t>
      </w:r>
      <w:proofErr w:type="gramEnd"/>
      <w:r>
        <w:rPr>
          <w:rFonts w:ascii="DejaVu Serif" w:eastAsia="DejaVu Serif" w:hAnsi="DejaVu Serif" w:cs="DejaVu Serif"/>
          <w:color w:val="000000"/>
          <w:sz w:val="28"/>
          <w:szCs w:val="28"/>
        </w:rPr>
        <w:t xml:space="preserve"> общеобразовательные программы за счет средств федерального бюджета в сумме 57 652 560,00 руб. в рамках реализации национального проекта «"Педагоги и наставники".</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На 2025 год Департаментом образования заключены соглашения с подведомственными учреждениями, участвующими в реализации национального проекта «Педагоги и наставники».</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 состоянию на 01.01.2026 в образовательных учреждениях функционирует 369 классов, ежемесячное денежное вознаграждение за классное руководство педагогическим работникам муниципальных образовательных учреждений города Сарова Нижегородской области выплачено в полном объеме.</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Утвержденные плановые назначения на 2026-2028 гг. отсутствуют, так как по состоянию на 01.01.2026 соглашения с подведомственными учреждениями не заключены.</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Y Беспилотные авиационные системы</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Y4 "Стимулирование спроса на отечественные беспилотные авиационные системы"</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roofErr w:type="gramStart"/>
      <w:r>
        <w:rPr>
          <w:rFonts w:ascii="DejaVu Serif" w:eastAsia="DejaVu Serif" w:hAnsi="DejaVu Serif" w:cs="DejaVu Serif"/>
          <w:color w:val="000000"/>
          <w:sz w:val="28"/>
          <w:szCs w:val="28"/>
        </w:rPr>
        <w:t xml:space="preserve">В рамках национальных проектов Министерством образования и науки Нижегородской области до Департамента образования Администрации г. Саров </w:t>
      </w:r>
      <w:r>
        <w:rPr>
          <w:rFonts w:ascii="DejaVu Serif" w:eastAsia="DejaVu Serif" w:hAnsi="DejaVu Serif" w:cs="DejaVu Serif"/>
          <w:color w:val="000000"/>
          <w:sz w:val="28"/>
          <w:szCs w:val="28"/>
        </w:rPr>
        <w:lastRenderedPageBreak/>
        <w:t>доведены бюджетные назначения на 2025 год по иным межбюджетным трансфертам на финансовое обеспечение функционирования специализированных классов (кружков) на базе общеобразовательных организаций в целях реализации образовательных процессов по разработке, производству и эксплуатации беспилотных авиационных систем в сумме 5 344 600,00 руб. в рамках реализации федерального</w:t>
      </w:r>
      <w:proofErr w:type="gramEnd"/>
      <w:r>
        <w:rPr>
          <w:rFonts w:ascii="DejaVu Serif" w:eastAsia="DejaVu Serif" w:hAnsi="DejaVu Serif" w:cs="DejaVu Serif"/>
          <w:color w:val="000000"/>
          <w:sz w:val="28"/>
          <w:szCs w:val="28"/>
        </w:rPr>
        <w:t xml:space="preserve"> проекта «Стимулирование спроса на отечественные беспилотные авиационные системы» входящего в состав национального проекта «Беспилотные авиационные системы».</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На 2025 год Департаментом образования заключены было заключено соглашение с МБОУ Школой № 10 о предоставлении субсидии на иные цели для финансирования специализированных классов (кружков), реализующих образовательные процессы по разработке, производству и эксплуатации беспилотных авиационных систем.</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 2025 году результат исполнения достижения целей предоставления иного межбюджетного трансферта – финансовое обеспечение функционирования специализированных классов (кружков) на базе 1 общеобразовательной организации в целях реализации образовательных процессов по разработке, производству и эксплуатации беспилотных авиационных систем составил 100%.</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Утвержденные плановые назначения на 2026-2028 гг. отсутствуют, так как по состоянию на 01.01.2026 соглашения с подведомственными учреждениями не заключены.</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И  Инфраструктура для жизни</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И</w:t>
      </w:r>
      <w:proofErr w:type="gramStart"/>
      <w:r>
        <w:rPr>
          <w:rFonts w:ascii="DejaVu Serif" w:eastAsia="DejaVu Serif" w:hAnsi="DejaVu Serif" w:cs="DejaVu Serif"/>
          <w:b/>
          <w:color w:val="000000"/>
          <w:sz w:val="28"/>
          <w:szCs w:val="28"/>
        </w:rPr>
        <w:t>4</w:t>
      </w:r>
      <w:proofErr w:type="gramEnd"/>
      <w:r>
        <w:rPr>
          <w:rFonts w:ascii="DejaVu Serif" w:eastAsia="DejaVu Serif" w:hAnsi="DejaVu Serif" w:cs="DejaVu Serif"/>
          <w:b/>
          <w:color w:val="000000"/>
          <w:sz w:val="28"/>
          <w:szCs w:val="28"/>
        </w:rPr>
        <w:t xml:space="preserve">  Федеральный проект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"Формирование комфортной городской среды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roofErr w:type="gramStart"/>
      <w:r>
        <w:rPr>
          <w:rFonts w:ascii="DejaVu Serif" w:eastAsia="DejaVu Serif" w:hAnsi="DejaVu Serif" w:cs="DejaVu Serif"/>
          <w:color w:val="000000"/>
          <w:sz w:val="28"/>
          <w:szCs w:val="28"/>
        </w:rPr>
        <w:t>В рамках национального проекта Министерством энергетики и жилищно-коммунального хозяйства Нижегородской области до Департамента культуры и искусства Администрации г. Саров доведены бюджетные назначения по 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на реализация проекта благоустройства "Левый берег реки Сатис-формула</w:t>
      </w:r>
      <w:proofErr w:type="gramEnd"/>
      <w:r>
        <w:rPr>
          <w:rFonts w:ascii="DejaVu Serif" w:eastAsia="DejaVu Serif" w:hAnsi="DejaVu Serif" w:cs="DejaVu Serif"/>
          <w:color w:val="000000"/>
          <w:sz w:val="28"/>
          <w:szCs w:val="28"/>
        </w:rPr>
        <w:t xml:space="preserve"> </w:t>
      </w:r>
      <w:proofErr w:type="gramStart"/>
      <w:r>
        <w:rPr>
          <w:rFonts w:ascii="DejaVu Serif" w:eastAsia="DejaVu Serif" w:hAnsi="DejaVu Serif" w:cs="DejaVu Serif"/>
          <w:color w:val="000000"/>
          <w:sz w:val="28"/>
          <w:szCs w:val="28"/>
        </w:rPr>
        <w:t>неспешного отдыха" на 2025 год за счет средств федерального бюджета в сумме 96 680 600, руб., за счет средств областного бюджета в сумме 976 571,72 руб., за счет средств местного бюджета в сумме 108 507,97 руб., на 2026 год за счет средств областного бюджета в сумме 96 680 600,00 руб., за счет средств местного бюджета в сумме 10 742 300,00</w:t>
      </w:r>
      <w:proofErr w:type="gramEnd"/>
      <w:r>
        <w:rPr>
          <w:rFonts w:ascii="DejaVu Serif" w:eastAsia="DejaVu Serif" w:hAnsi="DejaVu Serif" w:cs="DejaVu Serif"/>
          <w:color w:val="000000"/>
          <w:sz w:val="28"/>
          <w:szCs w:val="28"/>
        </w:rPr>
        <w:t xml:space="preserve"> руб. Реализация проекта благоустройства "Левый берег реки Сатис-формула неспешного отдыха" запланирована на 2025-2026 годы.</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lastRenderedPageBreak/>
        <w:t> На 2025, 2026 годы Департаментом культуры и искусства Администрации г. Саров заключено соглашение с подведомственным учреждением, участвующим в реализации национального проекта «</w:t>
      </w:r>
      <w:r>
        <w:rPr>
          <w:rFonts w:ascii="DejaVu Serif" w:eastAsia="DejaVu Serif" w:hAnsi="DejaVu Serif" w:cs="DejaVu Serif"/>
          <w:b/>
          <w:color w:val="000000"/>
          <w:sz w:val="28"/>
          <w:szCs w:val="28"/>
        </w:rPr>
        <w:t>Инфраструктура для жизни</w:t>
      </w:r>
      <w:r>
        <w:rPr>
          <w:rFonts w:ascii="DejaVu Serif" w:eastAsia="DejaVu Serif" w:hAnsi="DejaVu Serif" w:cs="DejaVu Serif"/>
          <w:color w:val="000000"/>
          <w:sz w:val="28"/>
          <w:szCs w:val="28"/>
        </w:rPr>
        <w:t>».</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Результат исполнения субсидии, а именно "Реализованы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w:t>
      </w:r>
      <w:proofErr w:type="gramStart"/>
      <w:r>
        <w:rPr>
          <w:rFonts w:ascii="DejaVu Serif" w:eastAsia="DejaVu Serif" w:hAnsi="DejaVu Serif" w:cs="DejaVu Serif"/>
          <w:color w:val="000000"/>
          <w:sz w:val="28"/>
          <w:szCs w:val="28"/>
        </w:rPr>
        <w:t>будет</w:t>
      </w:r>
      <w:proofErr w:type="gramEnd"/>
      <w:r>
        <w:rPr>
          <w:rFonts w:ascii="DejaVu Serif" w:eastAsia="DejaVu Serif" w:hAnsi="DejaVu Serif" w:cs="DejaVu Serif"/>
          <w:color w:val="000000"/>
          <w:sz w:val="28"/>
          <w:szCs w:val="28"/>
        </w:rPr>
        <w:t xml:space="preserve"> достигнут в 2026 году.</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По состоянию на 01 января 2026 года расхождение между формами 0503128-НП «Отчет о бюджетных обязательствах» и 0503738-НП «Отчет об обязательствах учреждения» по разделу 3 «Обязательства финансовых годов, следующих за текущим (отчетным) финансовым годом» в сумме </w:t>
      </w:r>
      <w:r>
        <w:rPr>
          <w:rFonts w:ascii="DejaVu Serif" w:eastAsia="DejaVu Serif" w:hAnsi="DejaVu Serif" w:cs="DejaVu Serif"/>
          <w:b/>
          <w:color w:val="000000"/>
          <w:sz w:val="28"/>
          <w:szCs w:val="28"/>
        </w:rPr>
        <w:t>17 200 616,65</w:t>
      </w:r>
      <w:r>
        <w:rPr>
          <w:rFonts w:ascii="DejaVu Serif" w:eastAsia="DejaVu Serif" w:hAnsi="DejaVu Serif" w:cs="DejaVu Serif"/>
          <w:color w:val="000000"/>
          <w:sz w:val="28"/>
          <w:szCs w:val="28"/>
        </w:rPr>
        <w:t xml:space="preserve"> руб., в том числе:</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по строке 810 по КБК 0505 141И4А4240 612</w:t>
      </w: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roofErr w:type="gramStart"/>
      <w:r>
        <w:rPr>
          <w:rFonts w:ascii="DejaVu Serif" w:eastAsia="DejaVu Serif" w:hAnsi="DejaVu Serif" w:cs="DejaVu Serif"/>
          <w:color w:val="000000"/>
          <w:sz w:val="28"/>
          <w:szCs w:val="28"/>
        </w:rPr>
        <w:t>образовалось в связи с тем, что по состоянию на 01 января 2026 года ГРБС Департамент культуры и искусства Администрации г. Саров заключил соглашение на 2026-2028 г.г. с подведомственным бюджетным учреждением на предоставление 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w:t>
      </w:r>
      <w:proofErr w:type="gramEnd"/>
      <w:r>
        <w:rPr>
          <w:rFonts w:ascii="DejaVu Serif" w:eastAsia="DejaVu Serif" w:hAnsi="DejaVu Serif" w:cs="DejaVu Serif"/>
          <w:color w:val="000000"/>
          <w:sz w:val="28"/>
          <w:szCs w:val="28"/>
        </w:rPr>
        <w:t xml:space="preserve"> городской среды на сумму принятых им обязательств.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Соглашение с подведомственным учреждением будет заключено в полном объеме средств после заключения Соглашения  ГРБС с Министерством энергетики и жилищно-коммунального хозяйства Нижегородской области на 2026 год.</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Форма 0503790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«Сведения о вложениях в объекты недвижимого имущества, об объектах незавершенного строительства бюджетного (автономного) учреждения»</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Вложений в объекты недвижимого имущества, сведений об объектах незавершенного строительства по счету 010611000 «Вложения в основные средства - недвижимое имущество учреждения» в муниципальных бюджетных учреждениях нет.</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Форма 0503295 </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lastRenderedPageBreak/>
        <w:t> </w:t>
      </w:r>
      <w:r>
        <w:rPr>
          <w:rFonts w:ascii="DejaVu Serif" w:eastAsia="DejaVu Serif" w:hAnsi="DejaVu Serif" w:cs="DejaVu Serif"/>
          <w:b/>
          <w:color w:val="000000"/>
          <w:sz w:val="28"/>
          <w:szCs w:val="28"/>
        </w:rPr>
        <w:t>«Сведения об исполнении судебных решений по денежным обязательствам учреждения»</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Принято и исполнено денежных обязательств по КВФО 2,4,5 на 01 января 2026 года в сумме 46 616 110,70 рублей, исполнено 45 866 110,70 рублей, в том числе по исполнительным документам – 45 796 804,79 рублей.</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Основная сумма по исполнительным документам образовалась за счет того, что в течение 2025 года в МБУ «СГИ» поступали исполнительные листы по кредиторской задолженности, образовавшейся до реорганизации предприятия.</w:t>
      </w:r>
    </w:p>
    <w:p w:rsidR="0058289F" w:rsidRDefault="000E21EF">
      <w:pPr>
        <w:ind w:left="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Неисполненных денежных обязательств на конец отчетного периода в сумме 750 000,00 руб. </w:t>
      </w:r>
    </w:p>
    <w:p w:rsidR="0058289F" w:rsidRDefault="000E21EF">
      <w:pPr>
        <w:ind w:firstLine="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Гурьяновой </w:t>
      </w:r>
      <w:proofErr w:type="spellStart"/>
      <w:r>
        <w:rPr>
          <w:rFonts w:ascii="DejaVu Serif" w:eastAsia="DejaVu Serif" w:hAnsi="DejaVu Serif" w:cs="DejaVu Serif"/>
          <w:color w:val="000000"/>
          <w:sz w:val="28"/>
          <w:szCs w:val="28"/>
        </w:rPr>
        <w:t>Владой</w:t>
      </w:r>
      <w:proofErr w:type="spellEnd"/>
      <w:r>
        <w:rPr>
          <w:rFonts w:ascii="DejaVu Serif" w:eastAsia="DejaVu Serif" w:hAnsi="DejaVu Serif" w:cs="DejaVu Serif"/>
          <w:color w:val="000000"/>
          <w:sz w:val="28"/>
          <w:szCs w:val="28"/>
        </w:rPr>
        <w:t xml:space="preserve"> Владимировной в интересах своего несовершеннолетнего ребенка Гурьянова Ярослава Ивановича был подан иск к Муниципальному бюджетному учреждению культуры многофункциональный «Центр развития культуры и искусства г. Саров Нижегородской области» о взыскании компенсации морального вреда в размере 1 500 000 рублей. </w:t>
      </w:r>
      <w:proofErr w:type="spellStart"/>
      <w:r>
        <w:rPr>
          <w:rFonts w:ascii="DejaVu Serif" w:eastAsia="DejaVu Serif" w:hAnsi="DejaVu Serif" w:cs="DejaVu Serif"/>
          <w:color w:val="000000"/>
          <w:sz w:val="28"/>
          <w:szCs w:val="28"/>
        </w:rPr>
        <w:t>Саровским</w:t>
      </w:r>
      <w:proofErr w:type="spellEnd"/>
      <w:r>
        <w:rPr>
          <w:rFonts w:ascii="DejaVu Serif" w:eastAsia="DejaVu Serif" w:hAnsi="DejaVu Serif" w:cs="DejaVu Serif"/>
          <w:color w:val="000000"/>
          <w:sz w:val="28"/>
          <w:szCs w:val="28"/>
        </w:rPr>
        <w:t xml:space="preserve"> городским судом Нижегородской области вынесено решение от 10.04.2025г №2-148/2025 об удовлетворении требований о взыскании компенсации морального вреда в размере 750 000 рублей и государственной пошлины в размере 3000 рублей. На основании Постановления о возбуждении исполнительного производства </w:t>
      </w:r>
      <w:proofErr w:type="spellStart"/>
      <w:r>
        <w:rPr>
          <w:rFonts w:ascii="DejaVu Serif" w:eastAsia="DejaVu Serif" w:hAnsi="DejaVu Serif" w:cs="DejaVu Serif"/>
          <w:color w:val="000000"/>
          <w:sz w:val="28"/>
          <w:szCs w:val="28"/>
        </w:rPr>
        <w:t>Саровского</w:t>
      </w:r>
      <w:proofErr w:type="spellEnd"/>
      <w:r>
        <w:rPr>
          <w:rFonts w:ascii="DejaVu Serif" w:eastAsia="DejaVu Serif" w:hAnsi="DejaVu Serif" w:cs="DejaVu Serif"/>
          <w:color w:val="000000"/>
          <w:sz w:val="28"/>
          <w:szCs w:val="28"/>
        </w:rPr>
        <w:t xml:space="preserve"> районного отделения судебных приставов от 18.12.2025г. №52045/25/393204 оплачена государственная пошлина в размере 3 000 рублей. </w:t>
      </w:r>
      <w:proofErr w:type="gramStart"/>
      <w:r>
        <w:rPr>
          <w:rFonts w:ascii="DejaVu Serif" w:eastAsia="DejaVu Serif" w:hAnsi="DejaVu Serif" w:cs="DejaVu Serif"/>
          <w:color w:val="000000"/>
          <w:sz w:val="28"/>
          <w:szCs w:val="28"/>
        </w:rPr>
        <w:t xml:space="preserve">В связи с тем, что решение городского суда учреждением было получено 22.12.2025 года, а заявление в Департамент финансов Администрации г. Саров взыскателем о направлении исполнительного документа было написано только 16.01.2026г., денежных обязательств на конец отчетного периода </w:t>
      </w:r>
      <w:proofErr w:type="spellStart"/>
      <w:r>
        <w:rPr>
          <w:rFonts w:ascii="DejaVu Serif" w:eastAsia="DejaVu Serif" w:hAnsi="DejaVu Serif" w:cs="DejaVu Serif"/>
          <w:color w:val="000000"/>
          <w:sz w:val="28"/>
          <w:szCs w:val="28"/>
        </w:rPr>
        <w:t>неисполнено</w:t>
      </w:r>
      <w:proofErr w:type="spellEnd"/>
      <w:r>
        <w:rPr>
          <w:rFonts w:ascii="DejaVu Serif" w:eastAsia="DejaVu Serif" w:hAnsi="DejaVu Serif" w:cs="DejaVu Serif"/>
          <w:color w:val="000000"/>
          <w:sz w:val="28"/>
          <w:szCs w:val="28"/>
        </w:rPr>
        <w:t xml:space="preserve"> в сумме 750 000,00 руб., соответственно образовалась кредиторская задолженность в размере 750 000 руб. </w:t>
      </w:r>
      <w:proofErr w:type="gramEnd"/>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Раздел 5. Прочие вопросы деятельности учреждения</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Бухгалтерский учет и формирование бухгалтерской отчетности осуществляется в соответствии с законодательством и  нормативно-правовыми актами, а именно:</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Бюджетный кодекс Российской Федерации;</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 Налоговый кодекс Российской Федерации;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Федеральный закон от 06 декабря 2011 года № 402-ФЗ «О бухгалтерском учете» (с учетом изменений);</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 </w:t>
      </w:r>
      <w:hyperlink r:id="rId4">
        <w:r>
          <w:rPr>
            <w:rStyle w:val="a3"/>
            <w:rFonts w:ascii="DejaVu Serif" w:eastAsia="DejaVu Serif" w:hAnsi="DejaVu Serif" w:cs="DejaVu Serif"/>
            <w:color w:val="000000"/>
            <w:sz w:val="28"/>
            <w:szCs w:val="28"/>
          </w:rPr>
          <w:t>Приказ Минфина РФ от 16 декабря 2010  N 174н  «Об утверждении Плана счетов бухгалтерского учета бюджетных учреждений и Инструкции по его применению»</w:t>
        </w:r>
      </w:hyperlink>
      <w:r>
        <w:rPr>
          <w:rFonts w:ascii="DejaVu Serif" w:eastAsia="DejaVu Serif" w:hAnsi="DejaVu Serif" w:cs="DejaVu Serif"/>
          <w:color w:val="000000"/>
          <w:sz w:val="28"/>
          <w:szCs w:val="28"/>
        </w:rPr>
        <w:t xml:space="preserve"> (с учетом изменений);</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lastRenderedPageBreak/>
        <w:t> - Приказ Министерства финансов Российской Федерации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Приказ Министерства финансов Российской Федерации РФ от 25 марта 2011 №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(с учетом изменений).</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За 2025 год бухгалтерская отчетность сформирована с учетом изменений, введенных Федеральными стандартами бухгалтерского учета для организаций государственного сектора.</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roofErr w:type="gramStart"/>
      <w:r>
        <w:rPr>
          <w:rFonts w:ascii="DejaVu Serif" w:eastAsia="DejaVu Serif" w:hAnsi="DejaVu Serif" w:cs="DejaVu Serif"/>
          <w:color w:val="000000"/>
          <w:sz w:val="28"/>
          <w:szCs w:val="28"/>
        </w:rPr>
        <w:t>Бюджетный (бухгалтерский) учет и формирование бухгалтерской (финансовой) отчетности осуществляется в соответствии с законодательством и направлены на решение следующих задач:</w:t>
      </w:r>
      <w:proofErr w:type="gramEnd"/>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реализация единого порядка ведения бухгалтерского учета в муниципальных бюджетных учреждениях города Сарова с использованием средств автоматизации;</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поддержание созданного единого комплекса автоматизированного ведения бухгалтерского учета;</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повышение качества и оперативности формирования отчета об исполнении учреждением плана его финансово-хозяйственной деятельности;</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обеспечение достоверности и доступности бухгалтерской отчетности для населения.</w:t>
      </w:r>
    </w:p>
    <w:p w:rsidR="0058289F" w:rsidRDefault="000E21EF">
      <w:pPr>
        <w:ind w:firstLine="7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 целях обеспечения единых правил ведения бухгалтерского учета, формирования и представления бухгалтерской отчетности Департаментом финансов изданы следующие документы:</w:t>
      </w:r>
    </w:p>
    <w:p w:rsidR="0058289F" w:rsidRDefault="000E21EF">
      <w:pPr>
        <w:ind w:left="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Приказ от 24.12.2024 № 123-П «Об утверждении состава и сроков представления месячной, квартальной бюджетной, сводной бухгалтерской и дополнительной отчетности главными администраторами бюджетных средств города Сарова в 2025 году»;</w:t>
      </w:r>
    </w:p>
    <w:p w:rsidR="0058289F" w:rsidRDefault="000E21EF">
      <w:pPr>
        <w:ind w:left="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Приказ от 22.12.2025 № 139-П «О составлении годовой отчетности об исполнении бюджета города Сарова, сводной бухгалтерской отчетности бюджетных и автономных учреждений за 2025 год».</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Информация о  составе и сроков представления месячной, квартальной и годовой бюджетной, сводной бухгалтерской и дополнительной отчетности главными администраторами бюджетных средств города Сарова размещена в электронном бюджете.</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lastRenderedPageBreak/>
        <w:t xml:space="preserve">  Для обеспечения достоверности годовой бухгалтерской отчетности, в период с 01 ноября 2025 года по 31 декабря 2025 года муниципальными учреждениями проведена инвентаризация.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 результатам инвентаризации выявлены излишки в виде неучтенного оборудования, которое находится в исправном состоянии.</w:t>
      </w:r>
      <w:r>
        <w:rPr>
          <w:rFonts w:ascii="DejaVu Serif" w:eastAsia="DejaVu Serif" w:hAnsi="DejaVu Serif" w:cs="DejaVu Serif"/>
          <w:b/>
          <w:i/>
          <w:color w:val="000000"/>
          <w:sz w:val="28"/>
          <w:szCs w:val="28"/>
        </w:rPr>
        <w:t xml:space="preserve"> </w:t>
      </w:r>
      <w:r>
        <w:rPr>
          <w:rFonts w:ascii="DejaVu Serif" w:eastAsia="DejaVu Serif" w:hAnsi="DejaVu Serif" w:cs="DejaVu Serif"/>
          <w:color w:val="000000"/>
          <w:sz w:val="28"/>
          <w:szCs w:val="28"/>
        </w:rPr>
        <w:t>Основные средства приняты к бухгалтерскому учету по текущей оценочной стоимости, признаваемой справедливой стоимостью, на дату принятия к учету.</w:t>
      </w:r>
    </w:p>
    <w:p w:rsidR="0058289F" w:rsidRDefault="000E21EF">
      <w:pPr>
        <w:ind w:firstLine="5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Признаков обесценения объектов нефинансовых активов не выявлено.</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Объектов несоответствующих условиям признания активов в бухгалтерском учете не обнаружено.</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 отчетном периоде велась активная работа в сфере финансового контроля и контроля в сфере закупок, а именно направлена на решение следующих задач:</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 усиление муниципального финансового </w:t>
      </w:r>
      <w:proofErr w:type="gramStart"/>
      <w:r>
        <w:rPr>
          <w:rFonts w:ascii="DejaVu Serif" w:eastAsia="DejaVu Serif" w:hAnsi="DejaVu Serif" w:cs="DejaVu Serif"/>
          <w:color w:val="000000"/>
          <w:sz w:val="28"/>
          <w:szCs w:val="28"/>
        </w:rPr>
        <w:t>контроля за</w:t>
      </w:r>
      <w:proofErr w:type="gramEnd"/>
      <w:r>
        <w:rPr>
          <w:rFonts w:ascii="DejaVu Serif" w:eastAsia="DejaVu Serif" w:hAnsi="DejaVu Serif" w:cs="DejaVu Serif"/>
          <w:color w:val="000000"/>
          <w:sz w:val="28"/>
          <w:szCs w:val="28"/>
        </w:rPr>
        <w:t xml:space="preserve"> соблюдением бюджетного законодательства, законодательства о контрактной системе в сфере закупок;</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 совершенствование системы муниципальных правовых актов, регулирующих отношения в сфере муниципального финансового контроля, закупок товаров, работ, услуг для обеспечения муниципальных нужд;</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проведение анализа и оценки деятельности муниципальных бюджетных учреждений города Саров в целях определения экономичности и результативности использования сре</w:t>
      </w:r>
      <w:proofErr w:type="gramStart"/>
      <w:r>
        <w:rPr>
          <w:rFonts w:ascii="DejaVu Serif" w:eastAsia="DejaVu Serif" w:hAnsi="DejaVu Serif" w:cs="DejaVu Serif"/>
          <w:color w:val="000000"/>
          <w:sz w:val="28"/>
          <w:szCs w:val="28"/>
        </w:rPr>
        <w:t>дств дл</w:t>
      </w:r>
      <w:proofErr w:type="gramEnd"/>
      <w:r>
        <w:rPr>
          <w:rFonts w:ascii="DejaVu Serif" w:eastAsia="DejaVu Serif" w:hAnsi="DejaVu Serif" w:cs="DejaVu Serif"/>
          <w:color w:val="000000"/>
          <w:sz w:val="28"/>
          <w:szCs w:val="28"/>
        </w:rPr>
        <w:t>я выполнения возложенных на них функций и реализации поставленных перед ними задач.</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Во исполнение изменений бюджетного законодательства и повышения эффективности использования бюджетных средств и строгого соблюдения бюджетной дисциплины в отчетном периоде осуществлялось:</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 устранение ошибок пользователей при работе в Единой объединенной финансовой системе Нижегородской области с помощью разработчика программного продукта;</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 регулярное осуществление консультаций пользователей по работе с функционалом систем «</w:t>
      </w:r>
      <w:proofErr w:type="spellStart"/>
      <w:r>
        <w:rPr>
          <w:rFonts w:ascii="DejaVu Serif" w:eastAsia="DejaVu Serif" w:hAnsi="DejaVu Serif" w:cs="DejaVu Serif"/>
          <w:color w:val="000000"/>
          <w:sz w:val="28"/>
          <w:szCs w:val="28"/>
        </w:rPr>
        <w:t>АЦК-Планирование</w:t>
      </w:r>
      <w:proofErr w:type="spellEnd"/>
      <w:r>
        <w:rPr>
          <w:rFonts w:ascii="DejaVu Serif" w:eastAsia="DejaVu Serif" w:hAnsi="DejaVu Serif" w:cs="DejaVu Serif"/>
          <w:color w:val="000000"/>
          <w:sz w:val="28"/>
          <w:szCs w:val="28"/>
        </w:rPr>
        <w:t>», «</w:t>
      </w:r>
      <w:proofErr w:type="spellStart"/>
      <w:r>
        <w:rPr>
          <w:rFonts w:ascii="DejaVu Serif" w:eastAsia="DejaVu Serif" w:hAnsi="DejaVu Serif" w:cs="DejaVu Serif"/>
          <w:color w:val="000000"/>
          <w:sz w:val="28"/>
          <w:szCs w:val="28"/>
        </w:rPr>
        <w:t>АЦК-Финансы</w:t>
      </w:r>
      <w:proofErr w:type="spellEnd"/>
      <w:r>
        <w:rPr>
          <w:rFonts w:ascii="DejaVu Serif" w:eastAsia="DejaVu Serif" w:hAnsi="DejaVu Serif" w:cs="DejaVu Serif"/>
          <w:color w:val="000000"/>
          <w:sz w:val="28"/>
          <w:szCs w:val="28"/>
        </w:rPr>
        <w:t>», «</w:t>
      </w:r>
      <w:proofErr w:type="spellStart"/>
      <w:r>
        <w:rPr>
          <w:rFonts w:ascii="DejaVu Serif" w:eastAsia="DejaVu Serif" w:hAnsi="DejaVu Serif" w:cs="DejaVu Serif"/>
          <w:color w:val="000000"/>
          <w:sz w:val="28"/>
          <w:szCs w:val="28"/>
        </w:rPr>
        <w:t>АЦК-Госзаказ</w:t>
      </w:r>
      <w:proofErr w:type="spellEnd"/>
      <w:r>
        <w:rPr>
          <w:rFonts w:ascii="DejaVu Serif" w:eastAsia="DejaVu Serif" w:hAnsi="DejaVu Serif" w:cs="DejaVu Serif"/>
          <w:color w:val="000000"/>
          <w:sz w:val="28"/>
          <w:szCs w:val="28"/>
        </w:rPr>
        <w:t xml:space="preserve">»;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 поддержание реестра сертификатов уполномоченных сотрудников автоматизированной системы «</w:t>
      </w:r>
      <w:proofErr w:type="spellStart"/>
      <w:r>
        <w:rPr>
          <w:rFonts w:ascii="DejaVu Serif" w:eastAsia="DejaVu Serif" w:hAnsi="DejaVu Serif" w:cs="DejaVu Serif"/>
          <w:color w:val="000000"/>
          <w:sz w:val="28"/>
          <w:szCs w:val="28"/>
        </w:rPr>
        <w:t>АЦК-Финансы</w:t>
      </w:r>
      <w:proofErr w:type="spellEnd"/>
      <w:r>
        <w:rPr>
          <w:rFonts w:ascii="DejaVu Serif" w:eastAsia="DejaVu Serif" w:hAnsi="DejaVu Serif" w:cs="DejaVu Serif"/>
          <w:color w:val="000000"/>
          <w:sz w:val="28"/>
          <w:szCs w:val="28"/>
        </w:rPr>
        <w:t>», «</w:t>
      </w:r>
      <w:proofErr w:type="spellStart"/>
      <w:r>
        <w:rPr>
          <w:rFonts w:ascii="DejaVu Serif" w:eastAsia="DejaVu Serif" w:hAnsi="DejaVu Serif" w:cs="DejaVu Serif"/>
          <w:color w:val="000000"/>
          <w:sz w:val="28"/>
          <w:szCs w:val="28"/>
        </w:rPr>
        <w:t>АЦК-Госзаказ</w:t>
      </w:r>
      <w:proofErr w:type="spellEnd"/>
      <w:r>
        <w:rPr>
          <w:rFonts w:ascii="DejaVu Serif" w:eastAsia="DejaVu Serif" w:hAnsi="DejaVu Serif" w:cs="DejaVu Serif"/>
          <w:color w:val="000000"/>
          <w:sz w:val="28"/>
          <w:szCs w:val="28"/>
        </w:rPr>
        <w:t xml:space="preserve">» в актуальном состоянии;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 организация доступа пользователей к Единой объединенной финансовой системе Нижегородской области, </w:t>
      </w:r>
      <w:proofErr w:type="gramStart"/>
      <w:r>
        <w:rPr>
          <w:rFonts w:ascii="DejaVu Serif" w:eastAsia="DejaVu Serif" w:hAnsi="DejaVu Serif" w:cs="DejaVu Serif"/>
          <w:color w:val="000000"/>
          <w:sz w:val="28"/>
          <w:szCs w:val="28"/>
        </w:rPr>
        <w:t>согласно</w:t>
      </w:r>
      <w:proofErr w:type="gramEnd"/>
      <w:r>
        <w:rPr>
          <w:rFonts w:ascii="DejaVu Serif" w:eastAsia="DejaVu Serif" w:hAnsi="DejaVu Serif" w:cs="DejaVu Serif"/>
          <w:color w:val="000000"/>
          <w:sz w:val="28"/>
          <w:szCs w:val="28"/>
        </w:rPr>
        <w:t xml:space="preserve"> их прав доступа;</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roofErr w:type="gramStart"/>
      <w:r>
        <w:rPr>
          <w:rFonts w:ascii="DejaVu Serif" w:eastAsia="DejaVu Serif" w:hAnsi="DejaVu Serif" w:cs="DejaVu Serif"/>
          <w:color w:val="000000"/>
          <w:sz w:val="28"/>
          <w:szCs w:val="28"/>
        </w:rPr>
        <w:t xml:space="preserve">- в соответствии с приказом Министерства финансов Российской Федерации от 28 декабря 2016 г. № 243н «О составе и порядке размещения и предоставления информации на едином портале бюджетной системы Российской Федерации» </w:t>
      </w:r>
      <w:proofErr w:type="spellStart"/>
      <w:r>
        <w:rPr>
          <w:rFonts w:ascii="DejaVu Serif" w:eastAsia="DejaVu Serif" w:hAnsi="DejaVu Serif" w:cs="DejaVu Serif"/>
          <w:color w:val="000000"/>
          <w:sz w:val="28"/>
          <w:szCs w:val="28"/>
        </w:rPr>
        <w:t>своевременноое</w:t>
      </w:r>
      <w:proofErr w:type="spellEnd"/>
      <w:r>
        <w:rPr>
          <w:rFonts w:ascii="DejaVu Serif" w:eastAsia="DejaVu Serif" w:hAnsi="DejaVu Serif" w:cs="DejaVu Serif"/>
          <w:color w:val="000000"/>
          <w:sz w:val="28"/>
          <w:szCs w:val="28"/>
        </w:rPr>
        <w:t xml:space="preserve"> формирование и размещение на едином портале бюджетной </w:t>
      </w:r>
      <w:r>
        <w:rPr>
          <w:rFonts w:ascii="DejaVu Serif" w:eastAsia="DejaVu Serif" w:hAnsi="DejaVu Serif" w:cs="DejaVu Serif"/>
          <w:color w:val="000000"/>
          <w:sz w:val="28"/>
          <w:szCs w:val="28"/>
        </w:rPr>
        <w:lastRenderedPageBreak/>
        <w:t>системы Российской Федерации с использованием государственной интегрированной информационной системы управления общественными финансами «Электронный бюджет» детализированной информации о формировании и исполнении бюджета муниципального образования</w:t>
      </w:r>
      <w:proofErr w:type="gramEnd"/>
      <w:r>
        <w:rPr>
          <w:rFonts w:ascii="DejaVu Serif" w:eastAsia="DejaVu Serif" w:hAnsi="DejaVu Serif" w:cs="DejaVu Serif"/>
          <w:color w:val="000000"/>
          <w:sz w:val="28"/>
          <w:szCs w:val="28"/>
        </w:rPr>
        <w:t>, обеспечивающей принцип прозрачности (открытости) бюджета и ее постоянную актуализацию;</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 поддержание в актуальном состоянии справочников в системе удаленного финансового документооборота (СУФД), используемой для взаимодействия участников бюджетного процесса;</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 ведение реестра соглашений по предоставлению субсидий из бюджетов субъектов РФ местным бюджетам в государственной системе «Электронный бюджет», организация доступа пользователей к системе «Электронный бюджет» </w:t>
      </w:r>
      <w:proofErr w:type="gramStart"/>
      <w:r>
        <w:rPr>
          <w:rFonts w:ascii="DejaVu Serif" w:eastAsia="DejaVu Serif" w:hAnsi="DejaVu Serif" w:cs="DejaVu Serif"/>
          <w:color w:val="000000"/>
          <w:sz w:val="28"/>
          <w:szCs w:val="28"/>
        </w:rPr>
        <w:t>согласно</w:t>
      </w:r>
      <w:proofErr w:type="gramEnd"/>
      <w:r>
        <w:rPr>
          <w:rFonts w:ascii="DejaVu Serif" w:eastAsia="DejaVu Serif" w:hAnsi="DejaVu Serif" w:cs="DejaVu Serif"/>
          <w:color w:val="000000"/>
          <w:sz w:val="28"/>
          <w:szCs w:val="28"/>
        </w:rPr>
        <w:t xml:space="preserve"> их прав доступа.</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 течение 2025 года для поддержания функционирования созданного единого комплекса автоматизированного ведения бюджетного учета и бухгалтерской (финансовой) отчетности муниципальным казенным и бюджетным учреждениям города Сарова оказывалась услуга по технической поддержке Единого комплекса автоматизированного ведения бюджетного учета ПО «1С-Бухгалтерия».</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Для создания эффективной организации бюджетного учета и бухгалтерской (финансовой) отчетности в течение 2025 года в программном продукте «1С-Бухгалтерия» были реализованы ряд задач по обеспечения контроля качества учета и отчетности.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Электронный документооборот между департаментом финансов и главными администраторами бюджетных средств, в части представления сводной бухгалтерской и дополнительной отчетности в виде электронного документа с использованием электронной подписи позволил повысить качество бюджетного учета и оперативность формирования бухгалтерской (финансовой) отчетности.</w:t>
      </w:r>
    </w:p>
    <w:p w:rsidR="0058289F" w:rsidRDefault="000E21EF">
      <w:pPr>
        <w:ind w:firstLine="5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 2025 году осуществлен переход на ПК «</w:t>
      </w:r>
      <w:proofErr w:type="spellStart"/>
      <w:r>
        <w:rPr>
          <w:rFonts w:ascii="DejaVu Serif" w:eastAsia="DejaVu Serif" w:hAnsi="DejaVu Serif" w:cs="DejaVu Serif"/>
          <w:color w:val="000000"/>
          <w:sz w:val="28"/>
          <w:szCs w:val="28"/>
        </w:rPr>
        <w:t>Свод-СМАРТ</w:t>
      </w:r>
      <w:proofErr w:type="spellEnd"/>
      <w:r>
        <w:rPr>
          <w:rFonts w:ascii="DejaVu Serif" w:eastAsia="DejaVu Serif" w:hAnsi="DejaVu Serif" w:cs="DejaVu Serif"/>
          <w:color w:val="000000"/>
          <w:sz w:val="28"/>
          <w:szCs w:val="28"/>
        </w:rPr>
        <w:t>», в части предоставления бюджетной, сводной бухгалтерской и дополнительной отчетности в виде электронных документов с использованием электронной подписи, что позволило повысить качество бюджетного учета, оперативность формирования бухгалтерской отчетности и сокращение финансовых затрат на материальные ресурсы на 25 процентов.</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Пояснения к протоколу </w:t>
      </w:r>
      <w:proofErr w:type="spellStart"/>
      <w:r>
        <w:rPr>
          <w:rFonts w:ascii="DejaVu Serif" w:eastAsia="DejaVu Serif" w:hAnsi="DejaVu Serif" w:cs="DejaVu Serif"/>
          <w:b/>
          <w:color w:val="000000"/>
          <w:sz w:val="28"/>
          <w:szCs w:val="28"/>
        </w:rPr>
        <w:t>внутридокументного</w:t>
      </w:r>
      <w:proofErr w:type="spellEnd"/>
      <w:r>
        <w:rPr>
          <w:rFonts w:ascii="DejaVu Serif" w:eastAsia="DejaVu Serif" w:hAnsi="DejaVu Serif" w:cs="DejaVu Serif"/>
          <w:b/>
          <w:color w:val="000000"/>
          <w:sz w:val="28"/>
          <w:szCs w:val="28"/>
        </w:rPr>
        <w:t xml:space="preserve"> контроля</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Форма 0503710 (0503710G) Справка по заключению учреждением счетов бухгалтерского учета отчетного финансового год.</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1. В Разделе 1 «Заключение счетов бухгалтерского учета отчетного финансового год» по счету бухгалтерского учета  194 4 401 10 195 в сумме 2 897 </w:t>
      </w:r>
      <w:r>
        <w:rPr>
          <w:rFonts w:ascii="DejaVu Serif" w:eastAsia="DejaVu Serif" w:hAnsi="DejaVu Serif" w:cs="DejaVu Serif"/>
          <w:color w:val="000000"/>
          <w:sz w:val="28"/>
          <w:szCs w:val="28"/>
        </w:rPr>
        <w:lastRenderedPageBreak/>
        <w:t>507 843,07 руб. отражена безвозмездная передача имущества из Муниципальной казны города Сарова в Муниципальное бюджетное учреждение «Служба городской инфраструктуры».</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Пояснение:</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roofErr w:type="gramStart"/>
      <w:r>
        <w:rPr>
          <w:rFonts w:ascii="DejaVu Serif" w:eastAsia="DejaVu Serif" w:hAnsi="DejaVu Serif" w:cs="DejaVu Serif"/>
          <w:color w:val="000000"/>
          <w:sz w:val="28"/>
          <w:szCs w:val="28"/>
        </w:rPr>
        <w:t>Безвозмездная передача имущества из Муниципальной казны города Сарова в Муниципальное бюджетное учреждение «Служба городской инфраструктуры» произведена в связи с реорганизации в форме преобразования Муниципального Унитарного Дорожно-Эксплуатационного Предприятия в Муниципальное бюджетное учреждение «Служба городской инфраструктуры» (основание Постановление Администрации города Сарова Нижегородской области от 12.09.2024 № 2194 «О реорганизации Муниципального Унитарного Дорожно-Эксплуатационного Предприятия в форме преобразования в муниципальное бюджетное учреждение «Служба городской инфраструктуры».</w:t>
      </w:r>
      <w:proofErr w:type="gramEnd"/>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2. В Разделе 1 «Заключение счетов бухгалтерского учета отчетного финансового год» по счетам бухгалтерского учета 0 401 10 000 (КВФО 4,5) отражена безвозмездная передача имущества разных бюджетов.</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Пояснение:</w:t>
      </w:r>
    </w:p>
    <w:p w:rsidR="0058289F" w:rsidRDefault="000E21EF">
      <w:pPr>
        <w:ind w:firstLine="4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1. </w:t>
      </w:r>
      <w:proofErr w:type="gramStart"/>
      <w:r>
        <w:rPr>
          <w:rFonts w:ascii="DejaVu Serif" w:eastAsia="DejaVu Serif" w:hAnsi="DejaVu Serif" w:cs="DejaVu Serif"/>
          <w:color w:val="000000"/>
          <w:sz w:val="28"/>
          <w:szCs w:val="28"/>
        </w:rPr>
        <w:t>В Разделе 1 «Заключение счетов бухгалтерского учета отчетного финансового год» по счету бухгалтерского учета 0 401 10 191 (КВФО 4,5) отражена безвозмездная передача имущества между учреждениями, разного уровня бюджетов, а именно передача от ГБУК НО "Нижегородская Государственная областная универсальная научная библиотека им. В.И.Ленина" журналов МБУК ЦГБ им. В. Маяковского города Сарова на сумму 7 313,08 руб., в том</w:t>
      </w:r>
      <w:proofErr w:type="gramEnd"/>
      <w:r>
        <w:rPr>
          <w:rFonts w:ascii="DejaVu Serif" w:eastAsia="DejaVu Serif" w:hAnsi="DejaVu Serif" w:cs="DejaVu Serif"/>
          <w:color w:val="000000"/>
          <w:sz w:val="28"/>
          <w:szCs w:val="28"/>
        </w:rPr>
        <w:t xml:space="preserve"> </w:t>
      </w:r>
      <w:proofErr w:type="gramStart"/>
      <w:r>
        <w:rPr>
          <w:rFonts w:ascii="DejaVu Serif" w:eastAsia="DejaVu Serif" w:hAnsi="DejaVu Serif" w:cs="DejaVu Serif"/>
          <w:color w:val="000000"/>
          <w:sz w:val="28"/>
          <w:szCs w:val="28"/>
        </w:rPr>
        <w:t>числе</w:t>
      </w:r>
      <w:proofErr w:type="gramEnd"/>
      <w:r>
        <w:rPr>
          <w:rFonts w:ascii="DejaVu Serif" w:eastAsia="DejaVu Serif" w:hAnsi="DejaVu Serif" w:cs="DejaVu Serif"/>
          <w:color w:val="000000"/>
          <w:sz w:val="28"/>
          <w:szCs w:val="28"/>
        </w:rPr>
        <w:t>:</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- 0801 0000000000 197 4 401 10 191 +574,00 руб.</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- 0801 0000000000 197 5 401 10 191 +6 739,08 руб.</w:t>
      </w:r>
    </w:p>
    <w:p w:rsidR="0058289F" w:rsidRDefault="000E21EF">
      <w:pPr>
        <w:ind w:firstLine="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Взаимные расчеты между учреждениями выверены.</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Пояснения к протоколу </w:t>
      </w:r>
      <w:proofErr w:type="spellStart"/>
      <w:r>
        <w:rPr>
          <w:rFonts w:ascii="DejaVu Serif" w:eastAsia="DejaVu Serif" w:hAnsi="DejaVu Serif" w:cs="DejaVu Serif"/>
          <w:b/>
          <w:color w:val="000000"/>
          <w:sz w:val="28"/>
          <w:szCs w:val="28"/>
        </w:rPr>
        <w:t>междокументного</w:t>
      </w:r>
      <w:proofErr w:type="spellEnd"/>
      <w:r>
        <w:rPr>
          <w:rFonts w:ascii="DejaVu Serif" w:eastAsia="DejaVu Serif" w:hAnsi="DejaVu Serif" w:cs="DejaVu Serif"/>
          <w:b/>
          <w:color w:val="000000"/>
          <w:sz w:val="28"/>
          <w:szCs w:val="28"/>
        </w:rPr>
        <w:t xml:space="preserve"> контроля</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1. Форма 0503710 (0503710G) Справка по заключению учреждением счетов бухгалтерского учета отчетного финансового год.</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 Разделе 1 «Заключение счетов бухгалтерского учета отчетного финансового год» по счетам бухгалтерского учета 0 401 10 000 (КВФО 1) в форме 410 отражена безвозмездная передача имущества разных бюджетов.</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Пояснение:</w:t>
      </w:r>
    </w:p>
    <w:p w:rsidR="0058289F" w:rsidRDefault="000E21EF">
      <w:pPr>
        <w:ind w:firstLine="42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1. </w:t>
      </w:r>
      <w:proofErr w:type="gramStart"/>
      <w:r>
        <w:rPr>
          <w:rFonts w:ascii="DejaVu Serif" w:eastAsia="DejaVu Serif" w:hAnsi="DejaVu Serif" w:cs="DejaVu Serif"/>
          <w:color w:val="000000"/>
          <w:sz w:val="28"/>
          <w:szCs w:val="28"/>
        </w:rPr>
        <w:t xml:space="preserve">В Разделе 1 «Заключение счетов бухгалтерского учета отчетного финансового год» по счету бухгалтерского учета 197 1 401 10 191 в форме 410 отражена безвозмездная передача имущества между учреждениями, разного </w:t>
      </w:r>
      <w:r>
        <w:rPr>
          <w:rFonts w:ascii="DejaVu Serif" w:eastAsia="DejaVu Serif" w:hAnsi="DejaVu Serif" w:cs="DejaVu Serif"/>
          <w:color w:val="000000"/>
          <w:sz w:val="28"/>
          <w:szCs w:val="28"/>
        </w:rPr>
        <w:lastRenderedPageBreak/>
        <w:t>уровня бюджетов, а именно передача от ГБУК НО "Нижегородская Государственная областная универсальная научная библиотека им. В.И.Ленина" книги МКУК ЦГДБ имени А.С. Пушкина города Сарова на сумму 574 руб.</w:t>
      </w:r>
      <w:proofErr w:type="gramEnd"/>
    </w:p>
    <w:p w:rsidR="0058289F" w:rsidRDefault="000E21EF">
      <w:pPr>
        <w:ind w:firstLine="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Взаимные расчеты между учреждениями выверены.</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2. </w:t>
      </w:r>
      <w:proofErr w:type="gramStart"/>
      <w:r>
        <w:rPr>
          <w:rFonts w:ascii="DejaVu Serif" w:eastAsia="DejaVu Serif" w:hAnsi="DejaVu Serif" w:cs="DejaVu Serif"/>
          <w:color w:val="000000"/>
          <w:sz w:val="28"/>
          <w:szCs w:val="28"/>
        </w:rPr>
        <w:t>В Разделе 1 «Заключение счетов бухгалтерского учета отчетного финансового год» по счету бухгалтерского учета 4 401 10 195 (КВФО 4) отражена безвозмездная передача имущества между учреждениями, разного уровня бюджетов, а именно передача от Государственного бюджетного учреждения дополнительного образования "Центр развития творчества детей и юношества Нижегородской области" программного обеспечения МБУ «Школа №10» города Сарова на сумму 1 710 429,96 руб., в</w:t>
      </w:r>
      <w:proofErr w:type="gramEnd"/>
      <w:r>
        <w:rPr>
          <w:rFonts w:ascii="DejaVu Serif" w:eastAsia="DejaVu Serif" w:hAnsi="DejaVu Serif" w:cs="DejaVu Serif"/>
          <w:color w:val="000000"/>
          <w:sz w:val="28"/>
          <w:szCs w:val="28"/>
        </w:rPr>
        <w:t xml:space="preserve"> том числе:</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- 0702 0000000000 197 4 401 10 195 +1 710 429,96 руб.</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Взаимные расчеты между учреждениями выверены.</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2. Форма 0503723  Отчет о движении денежных средств.</w:t>
      </w:r>
    </w:p>
    <w:p w:rsidR="0058289F" w:rsidRDefault="000E21EF">
      <w:pPr>
        <w:ind w:left="98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Форма 0503737  Отчет </w:t>
      </w:r>
      <w:proofErr w:type="gramStart"/>
      <w:r>
        <w:rPr>
          <w:rFonts w:ascii="DejaVu Serif" w:eastAsia="DejaVu Serif" w:hAnsi="DejaVu Serif" w:cs="DejaVu Serif"/>
          <w:color w:val="000000"/>
          <w:sz w:val="28"/>
          <w:szCs w:val="28"/>
        </w:rPr>
        <w:t>о</w:t>
      </w:r>
      <w:proofErr w:type="gramEnd"/>
      <w:r>
        <w:rPr>
          <w:rFonts w:ascii="DejaVu Serif" w:eastAsia="DejaVu Serif" w:hAnsi="DejaVu Serif" w:cs="DejaVu Serif"/>
          <w:color w:val="000000"/>
          <w:sz w:val="28"/>
          <w:szCs w:val="28"/>
        </w:rPr>
        <w:t xml:space="preserve"> исполнении учреждением плана его финансово-хозяйственной деятельности.</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При сравнении в форме 0503737 (0503737G) по (КВФО-4) Раздел 1 «Доходы» и 0503723 (0503723G) Раздел 1 «Поступления» показателей по КОСГУ 130 имеется отклонение на сумму 261 000,60 руб.</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Пояснение:</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Расхождение на доходы от возмещений Фондом социального страхования Российской Федерации расходов по КОСГУ 139 в сумме 261 000,60 руб. от возмещения расходов на предупредительные меры по сокращению производственного травматизма и профзаболеваний. Поступление субсидий на выполнение муниципального задания КОСГУ 130 складывается из КОСГУ 131 и КОСГУ 139.</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r>
        <w:rPr>
          <w:rFonts w:ascii="DejaVu Serif" w:eastAsia="DejaVu Serif" w:hAnsi="DejaVu Serif" w:cs="DejaVu Serif"/>
          <w:b/>
          <w:color w:val="000000"/>
          <w:sz w:val="28"/>
          <w:szCs w:val="28"/>
        </w:rPr>
        <w:t xml:space="preserve"> </w:t>
      </w:r>
    </w:p>
    <w:p w:rsidR="0058289F" w:rsidRDefault="000E21EF">
      <w:pPr>
        <w:ind w:left="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2. Форма 0503738 Отчет об обязательствах учреждения</w:t>
      </w:r>
    </w:p>
    <w:p w:rsidR="0058289F" w:rsidRDefault="000E21EF">
      <w:pPr>
        <w:ind w:left="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Форма 0503769 Сведения по дебиторской и кредиторской задолженности учреждения.</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При сравнении в форме 0503738 (0503738G) по (КВФО-2) и 0503769 (0503769G) имеется отклонение на сумму 3 900,00 руб.</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Пояснение:</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Показатели дебиторской и кредиторской задолженности ф. 0503769G (гр.9) по состоянию на отчетную дату соответствуют показателям, отраженным в ф. 0503738G. Неисполненные денежных обязательств (гр. 11 ф. 0503738G) в сумме 3 900,00 руб. в части переплаты страховых взносов счет 111 303 14 001.</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lastRenderedPageBreak/>
        <w:t xml:space="preserve">  </w:t>
      </w:r>
    </w:p>
    <w:p w:rsidR="0058289F" w:rsidRDefault="000E21EF">
      <w:pPr>
        <w:ind w:left="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3. Форма 0503738 Отчет об обязательствах учреждения</w:t>
      </w:r>
    </w:p>
    <w:p w:rsidR="0058289F" w:rsidRDefault="000E21EF">
      <w:pPr>
        <w:ind w:left="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Форма 0503769 Сведения по дебиторской и кредиторской задолженности учреждения.</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При сравнении в форме 0503738 (0503738G) по (КВФО-4) и 0503769 (0503769G) имеется отклонение на сумму 94 459,00 руб.</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Пояснение:</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Показатели дебиторской и кредиторской задолженности ф. 0503769G (гр.9) по состоянию на отчетную дату соответствуют показателям, отраженным в ф. 0503738G. Неисполненные денежных обязательств (гр. 11 ф. 0503738G) в сумме 94 459,00 руб. в части переплаты страховых взносов счет 851 303 14 001.</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При сравнении в форме 0503738 (0503738G) по (КВФО-4) и 0503769 (0503769G) имеется отклонение на сумму 151 012,00 руб.</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Пояснение:</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Показатели дебиторской и кредиторской задолженности ф. 0503769G (гр.9) по состоянию на отчетную дату соответствуют показателям, отраженным в ф. 0503738G.  Неисполненные денежных обязательств (гр. 11 ф. 0503738G) в сумме 151 012,00 руб. в части переплаты страховых взносов счет 111 303 14 001.</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4. Форма 0503768 Сведения о движении нефинансовых активов учреждения.</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Форме 0503768 (0503738G) (КВФО-2) показатели формы не соответствуют показателям прошлого года.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Пояснение:</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Данные остатков на начало за отчетный год по состоянию на 01 января 2026 года по сравнению с данными на начало года за предыдущий год на 01 января 2025 года имеют отклонения. Отклонения показателей связаны с исправлением ошибок прошлых лет. Изменения отражены в форме 0503773(0503773G)  «Сведения об изменении остатков валюты баланса учреждения» (КВФО-2).</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5. Форма 0503768 Сведения о движении нефинансовых активов учреждения.</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Форме 0503768 (0503738G) (КВФО-4) показатели формы не соответствуют показателям прошлого года.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Пояснение:</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Данные остатков на начало за отчетный год по состоянию на 01 января 2026 года по сравнению с данными на начало года за предыдущий год на 01 января 2025 года имеют отклонения. Отклонения показателей связаны с исправлением ошибок прошлых лет. Изменения отражены в форме </w:t>
      </w:r>
      <w:r>
        <w:rPr>
          <w:rFonts w:ascii="DejaVu Serif" w:eastAsia="DejaVu Serif" w:hAnsi="DejaVu Serif" w:cs="DejaVu Serif"/>
          <w:color w:val="000000"/>
          <w:sz w:val="28"/>
          <w:szCs w:val="28"/>
        </w:rPr>
        <w:lastRenderedPageBreak/>
        <w:t>0503773(0503773G)  «Сведения об изменении остатков валюты баланса учреждения» (КВФО-4).</w:t>
      </w:r>
    </w:p>
    <w:p w:rsidR="0058289F" w:rsidRDefault="000E21EF">
      <w:pPr>
        <w:ind w:firstLine="3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6. Форма 0503769 (КВФО</w:t>
      </w:r>
      <w:proofErr w:type="gramStart"/>
      <w:r>
        <w:rPr>
          <w:rFonts w:ascii="DejaVu Serif" w:eastAsia="DejaVu Serif" w:hAnsi="DejaVu Serif" w:cs="DejaVu Serif"/>
          <w:color w:val="000000"/>
          <w:sz w:val="28"/>
          <w:szCs w:val="28"/>
        </w:rPr>
        <w:t xml:space="preserve"> )</w:t>
      </w:r>
      <w:proofErr w:type="gramEnd"/>
    </w:p>
    <w:p w:rsidR="0058289F" w:rsidRDefault="000E21EF">
      <w:pPr>
        <w:ind w:firstLine="3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При сравнении в форме 0503369 (0503369G_БД, 0503369G_БК) с формой 0503769 (0503769G</w:t>
      </w:r>
      <w:proofErr w:type="gramStart"/>
      <w:r>
        <w:rPr>
          <w:rFonts w:ascii="DejaVu Serif" w:eastAsia="DejaVu Serif" w:hAnsi="DejaVu Serif" w:cs="DejaVu Serif"/>
          <w:color w:val="000000"/>
          <w:sz w:val="28"/>
          <w:szCs w:val="28"/>
        </w:rPr>
        <w:t>_К</w:t>
      </w:r>
      <w:proofErr w:type="gramEnd"/>
      <w:r>
        <w:rPr>
          <w:rFonts w:ascii="DejaVu Serif" w:eastAsia="DejaVu Serif" w:hAnsi="DejaVu Serif" w:cs="DejaVu Serif"/>
          <w:color w:val="000000"/>
          <w:sz w:val="28"/>
          <w:szCs w:val="28"/>
        </w:rPr>
        <w:t>, 0503769G_К КВФО 5) по дебиторской и кредиторской задолженности по счету 1 206 41 000 и 1 205 53 000 остатков на начало года с прошлым годом имеется отклонение на сумму  (-) 3 727 280,51 руб.</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Пояснение:</w:t>
      </w:r>
    </w:p>
    <w:p w:rsidR="0058289F" w:rsidRDefault="000E21EF">
      <w:pPr>
        <w:ind w:firstLine="3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В соответствии с </w:t>
      </w:r>
      <w:proofErr w:type="gramStart"/>
      <w:r>
        <w:rPr>
          <w:rFonts w:ascii="DejaVu Serif" w:eastAsia="DejaVu Serif" w:hAnsi="DejaVu Serif" w:cs="DejaVu Serif"/>
          <w:color w:val="000000"/>
          <w:sz w:val="28"/>
          <w:szCs w:val="28"/>
        </w:rPr>
        <w:t>п</w:t>
      </w:r>
      <w:proofErr w:type="gramEnd"/>
      <w:r w:rsidR="00BE54C8">
        <w:fldChar w:fldCharType="begin"/>
      </w:r>
      <w:r w:rsidR="0058289F">
        <w:instrText>HYPERLINK "https://internet.garant.ru/document/redirect/73507251/0" \h</w:instrText>
      </w:r>
      <w:r w:rsidR="00BE54C8">
        <w:fldChar w:fldCharType="separate"/>
      </w:r>
      <w:r>
        <w:rPr>
          <w:rStyle w:val="a3"/>
          <w:rFonts w:ascii="DejaVu Serif" w:eastAsia="DejaVu Serif" w:hAnsi="DejaVu Serif" w:cs="DejaVu Serif"/>
          <w:color w:val="000000"/>
          <w:sz w:val="28"/>
          <w:szCs w:val="28"/>
        </w:rPr>
        <w:t>исьмом Минфина России от 4 февраля 2020 г. N 02-06-07/6939 "О признании в бухгалтерском (бюджетном) учете показателей доходов (расходов) отчетного периода по операциям от получения бюджетными и автономными учреждениями субсидий из бюджета"</w:t>
      </w:r>
      <w:r w:rsidR="00BE54C8">
        <w:fldChar w:fldCharType="end"/>
      </w:r>
      <w:r>
        <w:rPr>
          <w:rFonts w:ascii="DejaVu Serif" w:eastAsia="DejaVu Serif" w:hAnsi="DejaVu Serif" w:cs="DejaVu Serif"/>
          <w:color w:val="000000"/>
          <w:sz w:val="28"/>
          <w:szCs w:val="28"/>
        </w:rPr>
        <w:t xml:space="preserve"> остатки на начало года по счету 1 206 41 000 в течение 2025 года переведены на счет 1 205 53 00 в сумме 3 727 280,51 руб.</w:t>
      </w:r>
    </w:p>
    <w:p w:rsidR="0058289F" w:rsidRDefault="000E21EF">
      <w:pPr>
        <w:ind w:firstLine="54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ind w:firstLine="700"/>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В состав сводной бухгалтерской отчетности за 2025 год в виду отсутствия числовых значений не включены следующие формы: </w:t>
      </w:r>
    </w:p>
    <w:p w:rsidR="0058289F" w:rsidRDefault="000E21EF">
      <w:pPr>
        <w:ind w:left="720" w:hanging="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Справка по консолидированным расчетам учреждения (Форма 0503725);</w:t>
      </w:r>
    </w:p>
    <w:p w:rsidR="0058289F" w:rsidRDefault="000E21EF">
      <w:pPr>
        <w:ind w:left="360" w:firstLine="80"/>
        <w:jc w:val="both"/>
        <w:rPr>
          <w:rFonts w:ascii="Times New Roman" w:eastAsia="Times New Roman" w:hAnsi="Times New Roman" w:cs="Times New Roman"/>
          <w:sz w:val="24"/>
        </w:rPr>
      </w:pPr>
      <w:r>
        <w:rPr>
          <w:rFonts w:ascii="DejaVu Serif" w:eastAsia="DejaVu Serif" w:hAnsi="DejaVu Serif" w:cs="DejaVu Serif"/>
          <w:color w:val="000000"/>
          <w:sz w:val="28"/>
          <w:szCs w:val="28"/>
        </w:rPr>
        <w:t> «Сведения об исполнении плана финансово-хозяйственной деятельности» (Форма 0503766);</w:t>
      </w:r>
    </w:p>
    <w:p w:rsidR="0058289F" w:rsidRDefault="000E21EF">
      <w:pPr>
        <w:ind w:left="720" w:hanging="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Сведения о финансовых вложениях учреждения (Форма 0503771);</w:t>
      </w:r>
    </w:p>
    <w:p w:rsidR="0058289F" w:rsidRDefault="000E21EF">
      <w:pPr>
        <w:ind w:left="720" w:hanging="360"/>
        <w:jc w:val="both"/>
        <w:rPr>
          <w:rFonts w:ascii="Times New Roman" w:eastAsia="Times New Roman" w:hAnsi="Times New Roman" w:cs="Times New Roman"/>
          <w:sz w:val="24"/>
        </w:rPr>
      </w:pPr>
      <w:r>
        <w:rPr>
          <w:rFonts w:ascii="DejaVu Serif" w:eastAsia="DejaVu Serif" w:hAnsi="DejaVu Serif" w:cs="DejaVu Serif"/>
          <w:color w:val="000000"/>
          <w:sz w:val="28"/>
          <w:szCs w:val="28"/>
        </w:rPr>
        <w:t> - Сведения о вложениях в объекты недвижимого имущества, об объектах незавершенного строительства бюджетного (автономного) учреждения (Форма 0503790).</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xml:space="preserve">  </w:t>
      </w:r>
    </w:p>
    <w:p w:rsidR="0058289F" w:rsidRDefault="000E21EF">
      <w:pPr>
        <w:jc w:val="both"/>
        <w:rPr>
          <w:rFonts w:ascii="Times New Roman" w:eastAsia="Times New Roman" w:hAnsi="Times New Roman" w:cs="Times New Roman"/>
          <w:sz w:val="24"/>
        </w:rPr>
      </w:pPr>
      <w:r>
        <w:rPr>
          <w:rFonts w:ascii="DejaVu Serif" w:eastAsia="DejaVu Serif" w:hAnsi="DejaVu Serif" w:cs="DejaVu Serif"/>
          <w:color w:val="000000"/>
          <w:sz w:val="28"/>
          <w:szCs w:val="28"/>
        </w:rPr>
        <w:t>   </w:t>
      </w:r>
    </w:p>
    <w:p w:rsidR="0058289F" w:rsidRDefault="000E21EF">
      <w:pPr>
        <w:rPr>
          <w:rFonts w:ascii="Times New Roman" w:eastAsia="Times New Roman" w:hAnsi="Times New Roman" w:cs="Times New Roman"/>
          <w:sz w:val="24"/>
        </w:rPr>
      </w:pPr>
      <w:r>
        <w:rPr>
          <w:rFonts w:ascii="DejaVu Serif" w:eastAsia="DejaVu Serif" w:hAnsi="DejaVu Serif" w:cs="DejaVu Serif"/>
          <w:color w:val="000000"/>
          <w:sz w:val="24"/>
          <w:szCs w:val="24"/>
        </w:rPr>
        <w:t> </w:t>
      </w:r>
    </w:p>
    <w:p w:rsidR="0058289F" w:rsidRDefault="0058289F"/>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420" w:type="dxa"/>
        <w:tblInd w:w="96" w:type="dxa"/>
        <w:tblBorders>
          <w:top w:val="nil"/>
          <w:left w:val="nil"/>
          <w:bottom w:val="nil"/>
          <w:right w:val="nil"/>
        </w:tblBorders>
        <w:tblCellMar>
          <w:left w:w="0" w:type="dxa"/>
          <w:right w:w="0" w:type="dxa"/>
        </w:tblCellMar>
        <w:tblLook w:val="04A0"/>
      </w:tblPr>
      <w:tblGrid>
        <w:gridCol w:w="2730"/>
        <w:gridCol w:w="3840"/>
        <w:gridCol w:w="266"/>
        <w:gridCol w:w="2559"/>
        <w:gridCol w:w="60"/>
      </w:tblGrid>
      <w:tr w:rsidR="0058289F">
        <w:tc>
          <w:tcPr>
            <w:tcW w:w="2730" w:type="dxa"/>
            <w:tcMar>
              <w:top w:w="0" w:type="dxa"/>
              <w:left w:w="108" w:type="dxa"/>
              <w:bottom w:w="0" w:type="dxa"/>
              <w:right w:w="108" w:type="dxa"/>
            </w:tcMar>
            <w:vAlign w:val="cente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3834" w:type="dxa"/>
            <w:tcMar>
              <w:top w:w="0" w:type="dxa"/>
              <w:left w:w="108" w:type="dxa"/>
              <w:bottom w:w="0" w:type="dxa"/>
              <w:right w:w="108" w:type="dxa"/>
            </w:tcMar>
            <w:vAlign w:val="cente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236" w:type="dxa"/>
            <w:tcMar>
              <w:top w:w="0" w:type="dxa"/>
              <w:left w:w="108" w:type="dxa"/>
              <w:bottom w:w="0" w:type="dxa"/>
              <w:right w:w="108" w:type="dxa"/>
            </w:tcMa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2614" w:type="dxa"/>
            <w:gridSpan w:val="2"/>
            <w:tcMar>
              <w:top w:w="0" w:type="dxa"/>
              <w:left w:w="108" w:type="dxa"/>
              <w:bottom w:w="0" w:type="dxa"/>
              <w:right w:w="108" w:type="dxa"/>
            </w:tcMar>
            <w:vAlign w:val="cente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58289F">
        <w:tc>
          <w:tcPr>
            <w:tcW w:w="2730" w:type="dxa"/>
            <w:tcMar>
              <w:top w:w="0" w:type="dxa"/>
              <w:left w:w="108" w:type="dxa"/>
              <w:bottom w:w="0" w:type="dxa"/>
              <w:right w:w="108" w:type="dxa"/>
            </w:tcMar>
            <w:vAlign w:val="cente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3834" w:type="dxa"/>
            <w:tcMar>
              <w:top w:w="0" w:type="dxa"/>
              <w:left w:w="108" w:type="dxa"/>
              <w:bottom w:w="0" w:type="dxa"/>
              <w:right w:w="108" w:type="dxa"/>
            </w:tcMar>
            <w:vAlign w:val="cente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236" w:type="dxa"/>
            <w:tcMar>
              <w:top w:w="0" w:type="dxa"/>
              <w:left w:w="108" w:type="dxa"/>
              <w:bottom w:w="0" w:type="dxa"/>
              <w:right w:w="108" w:type="dxa"/>
            </w:tcMa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2614" w:type="dxa"/>
            <w:gridSpan w:val="2"/>
            <w:tcMar>
              <w:top w:w="0" w:type="dxa"/>
              <w:left w:w="108" w:type="dxa"/>
              <w:bottom w:w="0" w:type="dxa"/>
              <w:right w:w="108" w:type="dxa"/>
            </w:tcMar>
            <w:vAlign w:val="cente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58289F">
        <w:tc>
          <w:tcPr>
            <w:tcW w:w="2730" w:type="dxa"/>
            <w:tcMar>
              <w:top w:w="0" w:type="dxa"/>
              <w:left w:w="108" w:type="dxa"/>
              <w:bottom w:w="0" w:type="dxa"/>
              <w:right w:w="108" w:type="dxa"/>
            </w:tcMar>
            <w:vAlign w:val="cente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Руководитель</w:t>
            </w:r>
          </w:p>
        </w:tc>
        <w:tc>
          <w:tcPr>
            <w:tcW w:w="3834" w:type="dxa"/>
            <w:tcBorders>
              <w:top w:val="nil"/>
              <w:left w:val="nil"/>
              <w:bottom w:val="single" w:sz="8" w:space="0" w:color="000000"/>
              <w:right w:val="nil"/>
            </w:tcBorders>
            <w:tcMar>
              <w:top w:w="0" w:type="dxa"/>
              <w:left w:w="108" w:type="dxa"/>
              <w:bottom w:w="0" w:type="dxa"/>
              <w:right w:w="108" w:type="dxa"/>
            </w:tcMar>
            <w:vAlign w:val="center"/>
            <w:hideMark/>
          </w:tcPr>
          <w:p w:rsidR="0058289F" w:rsidRDefault="0058289F"/>
        </w:tc>
        <w:tc>
          <w:tcPr>
            <w:tcW w:w="236" w:type="dxa"/>
            <w:tcMar>
              <w:top w:w="0" w:type="dxa"/>
              <w:left w:w="108" w:type="dxa"/>
              <w:bottom w:w="0" w:type="dxa"/>
              <w:right w:w="108" w:type="dxa"/>
            </w:tcMa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single" w:sz="8" w:space="0" w:color="000000"/>
              <w:right w:val="nil"/>
            </w:tcBorders>
            <w:tcMar>
              <w:top w:w="0" w:type="dxa"/>
              <w:left w:w="108" w:type="dxa"/>
              <w:bottom w:w="0" w:type="dxa"/>
              <w:right w:w="108" w:type="dxa"/>
            </w:tcMar>
            <w:vAlign w:val="center"/>
            <w:hideMark/>
          </w:tcPr>
          <w:p w:rsidR="0058289F" w:rsidRDefault="0058289F"/>
        </w:tc>
      </w:tr>
      <w:tr w:rsidR="0058289F">
        <w:trPr>
          <w:trHeight w:val="248"/>
        </w:trPr>
        <w:tc>
          <w:tcPr>
            <w:tcW w:w="2730" w:type="dxa"/>
            <w:noWrap/>
            <w:tcMar>
              <w:top w:w="0" w:type="dxa"/>
              <w:left w:w="108" w:type="dxa"/>
              <w:bottom w:w="0" w:type="dxa"/>
              <w:right w:w="108" w:type="dxa"/>
            </w:tcMar>
            <w:vAlign w:val="bottom"/>
            <w:hideMark/>
          </w:tcPr>
          <w:p w:rsidR="0058289F" w:rsidRDefault="0058289F">
            <w:pPr>
              <w:rPr>
                <w:sz w:val="24"/>
              </w:rPr>
            </w:pPr>
          </w:p>
        </w:tc>
        <w:tc>
          <w:tcPr>
            <w:tcW w:w="3834" w:type="dxa"/>
            <w:tcBorders>
              <w:top w:val="nil"/>
              <w:left w:val="nil"/>
              <w:bottom w:val="nil"/>
              <w:right w:val="nil"/>
            </w:tcBorders>
            <w:tcMar>
              <w:top w:w="0" w:type="dxa"/>
              <w:left w:w="108" w:type="dxa"/>
              <w:bottom w:w="0" w:type="dxa"/>
              <w:right w:w="108" w:type="dxa"/>
            </w:tcMar>
            <w:vAlign w:val="cente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(подпись)</w:t>
            </w:r>
          </w:p>
        </w:tc>
        <w:tc>
          <w:tcPr>
            <w:tcW w:w="236" w:type="dxa"/>
            <w:tcMar>
              <w:top w:w="0" w:type="dxa"/>
              <w:left w:w="108" w:type="dxa"/>
              <w:bottom w:w="0" w:type="dxa"/>
              <w:right w:w="108" w:type="dxa"/>
            </w:tcMa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nil"/>
              <w:right w:val="nil"/>
            </w:tcBorders>
            <w:tcMar>
              <w:top w:w="0" w:type="dxa"/>
              <w:left w:w="108" w:type="dxa"/>
              <w:bottom w:w="0" w:type="dxa"/>
              <w:right w:w="108" w:type="dxa"/>
            </w:tcMar>
            <w:vAlign w:val="cente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r>
      <w:tr w:rsidR="0058289F">
        <w:trPr>
          <w:trHeight w:val="151"/>
        </w:trPr>
        <w:tc>
          <w:tcPr>
            <w:tcW w:w="2730" w:type="dxa"/>
            <w:tcMar>
              <w:top w:w="0" w:type="dxa"/>
              <w:left w:w="108" w:type="dxa"/>
              <w:bottom w:w="0" w:type="dxa"/>
              <w:right w:w="108" w:type="dxa"/>
            </w:tcMa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6665" w:type="dxa"/>
            <w:gridSpan w:val="3"/>
            <w:noWrap/>
            <w:tcMar>
              <w:top w:w="0" w:type="dxa"/>
              <w:left w:w="108" w:type="dxa"/>
              <w:bottom w:w="0" w:type="dxa"/>
              <w:right w:w="108" w:type="dxa"/>
            </w:tcMar>
            <w:vAlign w:val="bottom"/>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5" w:type="dxa"/>
            <w:tcBorders>
              <w:top w:val="nil"/>
              <w:left w:val="nil"/>
              <w:bottom w:val="nil"/>
              <w:right w:val="nil"/>
            </w:tcBorders>
            <w:tcMar>
              <w:top w:w="0" w:type="dxa"/>
              <w:left w:w="0" w:type="dxa"/>
              <w:bottom w:w="0" w:type="dxa"/>
              <w:right w:w="0" w:type="dxa"/>
            </w:tcMar>
            <w:vAlign w:val="cente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58289F">
        <w:trPr>
          <w:trHeight w:val="251"/>
        </w:trPr>
        <w:tc>
          <w:tcPr>
            <w:tcW w:w="2730" w:type="dxa"/>
            <w:tcMar>
              <w:top w:w="0" w:type="dxa"/>
              <w:left w:w="108" w:type="dxa"/>
              <w:bottom w:w="0" w:type="dxa"/>
              <w:right w:w="108" w:type="dxa"/>
            </w:tcMar>
            <w:vAlign w:val="cente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Руководитель планово-</w:t>
            </w:r>
          </w:p>
        </w:tc>
        <w:tc>
          <w:tcPr>
            <w:tcW w:w="3834" w:type="dxa"/>
            <w:tcBorders>
              <w:top w:val="nil"/>
              <w:left w:val="nil"/>
              <w:bottom w:val="single" w:sz="8" w:space="0" w:color="000000"/>
              <w:right w:val="nil"/>
            </w:tcBorders>
            <w:tcMar>
              <w:top w:w="0" w:type="dxa"/>
              <w:left w:w="108" w:type="dxa"/>
              <w:bottom w:w="0" w:type="dxa"/>
              <w:right w:w="108" w:type="dxa"/>
            </w:tcMar>
            <w:vAlign w:val="center"/>
            <w:hideMark/>
          </w:tcPr>
          <w:p w:rsidR="0058289F" w:rsidRDefault="0058289F">
            <w:pPr>
              <w:rPr>
                <w:sz w:val="24"/>
              </w:rPr>
            </w:pPr>
          </w:p>
        </w:tc>
        <w:tc>
          <w:tcPr>
            <w:tcW w:w="236" w:type="dxa"/>
            <w:tcMar>
              <w:top w:w="0" w:type="dxa"/>
              <w:left w:w="108" w:type="dxa"/>
              <w:bottom w:w="0" w:type="dxa"/>
              <w:right w:w="108" w:type="dxa"/>
            </w:tcMa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single" w:sz="8" w:space="0" w:color="000000"/>
              <w:right w:val="nil"/>
            </w:tcBorders>
            <w:tcMar>
              <w:top w:w="0" w:type="dxa"/>
              <w:left w:w="108" w:type="dxa"/>
              <w:bottom w:w="0" w:type="dxa"/>
              <w:right w:w="108" w:type="dxa"/>
            </w:tcMar>
            <w:vAlign w:val="center"/>
            <w:hideMark/>
          </w:tcPr>
          <w:p w:rsidR="0058289F" w:rsidRDefault="0058289F">
            <w:pPr>
              <w:rPr>
                <w:sz w:val="24"/>
              </w:rPr>
            </w:pPr>
          </w:p>
        </w:tc>
      </w:tr>
      <w:tr w:rsidR="0058289F">
        <w:trPr>
          <w:trHeight w:val="148"/>
        </w:trPr>
        <w:tc>
          <w:tcPr>
            <w:tcW w:w="2730" w:type="dxa"/>
            <w:tcMar>
              <w:top w:w="0" w:type="dxa"/>
              <w:left w:w="108" w:type="dxa"/>
              <w:bottom w:w="0" w:type="dxa"/>
              <w:right w:w="108" w:type="dxa"/>
            </w:tcMar>
            <w:vAlign w:val="cente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экономической службы</w:t>
            </w:r>
          </w:p>
        </w:tc>
        <w:tc>
          <w:tcPr>
            <w:tcW w:w="3834" w:type="dxa"/>
            <w:tcBorders>
              <w:top w:val="nil"/>
              <w:left w:val="nil"/>
              <w:bottom w:val="nil"/>
              <w:right w:val="nil"/>
            </w:tcBorders>
            <w:tcMar>
              <w:top w:w="0" w:type="dxa"/>
              <w:left w:w="108" w:type="dxa"/>
              <w:bottom w:w="0" w:type="dxa"/>
              <w:right w:w="108" w:type="dxa"/>
            </w:tcMar>
            <w:vAlign w:val="cente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(подпись)</w:t>
            </w:r>
          </w:p>
        </w:tc>
        <w:tc>
          <w:tcPr>
            <w:tcW w:w="236" w:type="dxa"/>
            <w:tcMar>
              <w:top w:w="0" w:type="dxa"/>
              <w:left w:w="108" w:type="dxa"/>
              <w:bottom w:w="0" w:type="dxa"/>
              <w:right w:w="108" w:type="dxa"/>
            </w:tcMa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nil"/>
              <w:right w:val="nil"/>
            </w:tcBorders>
            <w:tcMar>
              <w:top w:w="0" w:type="dxa"/>
              <w:left w:w="108" w:type="dxa"/>
              <w:bottom w:w="0" w:type="dxa"/>
              <w:right w:w="108" w:type="dxa"/>
            </w:tcMar>
            <w:vAlign w:val="cente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r>
      <w:tr w:rsidR="0058289F">
        <w:trPr>
          <w:trHeight w:val="80"/>
        </w:trPr>
        <w:tc>
          <w:tcPr>
            <w:tcW w:w="2730" w:type="dxa"/>
            <w:tcMar>
              <w:top w:w="0" w:type="dxa"/>
              <w:left w:w="108" w:type="dxa"/>
              <w:bottom w:w="0" w:type="dxa"/>
              <w:right w:w="108" w:type="dxa"/>
            </w:tcMa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6665" w:type="dxa"/>
            <w:gridSpan w:val="3"/>
            <w:noWrap/>
            <w:tcMar>
              <w:top w:w="0" w:type="dxa"/>
              <w:left w:w="108" w:type="dxa"/>
              <w:bottom w:w="0" w:type="dxa"/>
              <w:right w:w="108" w:type="dxa"/>
            </w:tcMar>
            <w:vAlign w:val="bottom"/>
            <w:hideMark/>
          </w:tcPr>
          <w:p w:rsidR="0058289F" w:rsidRDefault="0058289F">
            <w:pPr>
              <w:rPr>
                <w:sz w:val="8"/>
              </w:rPr>
            </w:pPr>
          </w:p>
        </w:tc>
        <w:tc>
          <w:tcPr>
            <w:tcW w:w="15" w:type="dxa"/>
            <w:tcBorders>
              <w:top w:val="nil"/>
              <w:left w:val="nil"/>
              <w:bottom w:val="nil"/>
              <w:right w:val="nil"/>
            </w:tcBorders>
            <w:tcMar>
              <w:top w:w="0" w:type="dxa"/>
              <w:left w:w="0" w:type="dxa"/>
              <w:bottom w:w="0" w:type="dxa"/>
              <w:right w:w="0" w:type="dxa"/>
            </w:tcMar>
            <w:vAlign w:val="cente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58289F">
        <w:trPr>
          <w:trHeight w:val="281"/>
        </w:trPr>
        <w:tc>
          <w:tcPr>
            <w:tcW w:w="2730" w:type="dxa"/>
            <w:tcMar>
              <w:top w:w="0" w:type="dxa"/>
              <w:left w:w="108" w:type="dxa"/>
              <w:bottom w:w="0" w:type="dxa"/>
              <w:right w:w="108" w:type="dxa"/>
            </w:tcMar>
            <w:vAlign w:val="cente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Главный</w:t>
            </w:r>
          </w:p>
        </w:tc>
        <w:tc>
          <w:tcPr>
            <w:tcW w:w="3834" w:type="dxa"/>
            <w:tcBorders>
              <w:top w:val="nil"/>
              <w:left w:val="nil"/>
              <w:bottom w:val="single" w:sz="8" w:space="0" w:color="000000"/>
              <w:right w:val="nil"/>
            </w:tcBorders>
            <w:tcMar>
              <w:top w:w="0" w:type="dxa"/>
              <w:left w:w="108" w:type="dxa"/>
              <w:bottom w:w="0" w:type="dxa"/>
              <w:right w:w="108" w:type="dxa"/>
            </w:tcMar>
            <w:vAlign w:val="center"/>
            <w:hideMark/>
          </w:tcPr>
          <w:p w:rsidR="0058289F" w:rsidRDefault="0058289F">
            <w:pPr>
              <w:rPr>
                <w:sz w:val="24"/>
              </w:rPr>
            </w:pPr>
          </w:p>
        </w:tc>
        <w:tc>
          <w:tcPr>
            <w:tcW w:w="236" w:type="dxa"/>
            <w:tcMar>
              <w:top w:w="0" w:type="dxa"/>
              <w:left w:w="108" w:type="dxa"/>
              <w:bottom w:w="0" w:type="dxa"/>
              <w:right w:w="108" w:type="dxa"/>
            </w:tcMa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single" w:sz="8" w:space="0" w:color="000000"/>
              <w:right w:val="nil"/>
            </w:tcBorders>
            <w:noWrap/>
            <w:tcMar>
              <w:top w:w="0" w:type="dxa"/>
              <w:left w:w="108" w:type="dxa"/>
              <w:bottom w:w="0" w:type="dxa"/>
              <w:right w:w="108" w:type="dxa"/>
            </w:tcMar>
            <w:vAlign w:val="bottom"/>
            <w:hideMark/>
          </w:tcPr>
          <w:p w:rsidR="0058289F" w:rsidRDefault="0058289F">
            <w:pPr>
              <w:rPr>
                <w:sz w:val="24"/>
              </w:rPr>
            </w:pPr>
          </w:p>
        </w:tc>
      </w:tr>
      <w:tr w:rsidR="0058289F">
        <w:trPr>
          <w:trHeight w:val="281"/>
        </w:trPr>
        <w:tc>
          <w:tcPr>
            <w:tcW w:w="2730" w:type="dxa"/>
            <w:tcMar>
              <w:top w:w="0" w:type="dxa"/>
              <w:left w:w="108" w:type="dxa"/>
              <w:bottom w:w="0" w:type="dxa"/>
              <w:right w:w="108" w:type="dxa"/>
            </w:tcMar>
            <w:vAlign w:val="cente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бухгалтер</w:t>
            </w:r>
          </w:p>
        </w:tc>
        <w:tc>
          <w:tcPr>
            <w:tcW w:w="3834" w:type="dxa"/>
            <w:tcBorders>
              <w:top w:val="nil"/>
              <w:left w:val="nil"/>
              <w:bottom w:val="nil"/>
              <w:right w:val="nil"/>
            </w:tcBorders>
            <w:tcMar>
              <w:top w:w="0" w:type="dxa"/>
              <w:left w:w="108" w:type="dxa"/>
              <w:bottom w:w="0" w:type="dxa"/>
              <w:right w:w="108" w:type="dxa"/>
            </w:tcMar>
            <w:vAlign w:val="cente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(подпись)</w:t>
            </w:r>
          </w:p>
        </w:tc>
        <w:tc>
          <w:tcPr>
            <w:tcW w:w="236" w:type="dxa"/>
            <w:tcMar>
              <w:top w:w="0" w:type="dxa"/>
              <w:left w:w="108" w:type="dxa"/>
              <w:bottom w:w="0" w:type="dxa"/>
              <w:right w:w="108" w:type="dxa"/>
            </w:tcMa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nil"/>
              <w:right w:val="nil"/>
            </w:tcBorders>
            <w:tcMar>
              <w:top w:w="0" w:type="dxa"/>
              <w:left w:w="108" w:type="dxa"/>
              <w:bottom w:w="0" w:type="dxa"/>
              <w:right w:w="108" w:type="dxa"/>
            </w:tcMar>
            <w:vAlign w:val="cente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r>
      <w:tr w:rsidR="0058289F">
        <w:trPr>
          <w:trHeight w:val="281"/>
        </w:trPr>
        <w:tc>
          <w:tcPr>
            <w:tcW w:w="2730" w:type="dxa"/>
            <w:tcMar>
              <w:top w:w="0" w:type="dxa"/>
              <w:left w:w="108" w:type="dxa"/>
              <w:bottom w:w="0" w:type="dxa"/>
              <w:right w:w="108" w:type="dxa"/>
            </w:tcMar>
            <w:vAlign w:val="cente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834" w:type="dxa"/>
            <w:tcMar>
              <w:top w:w="0" w:type="dxa"/>
              <w:left w:w="108" w:type="dxa"/>
              <w:bottom w:w="0" w:type="dxa"/>
              <w:right w:w="108" w:type="dxa"/>
            </w:tcMar>
            <w:vAlign w:val="cente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36" w:type="dxa"/>
            <w:tcMar>
              <w:top w:w="0" w:type="dxa"/>
              <w:left w:w="108" w:type="dxa"/>
              <w:bottom w:w="0" w:type="dxa"/>
              <w:right w:w="108" w:type="dxa"/>
            </w:tcMa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Mar>
              <w:top w:w="0" w:type="dxa"/>
              <w:left w:w="108" w:type="dxa"/>
              <w:bottom w:w="0" w:type="dxa"/>
              <w:right w:w="108" w:type="dxa"/>
            </w:tcMar>
            <w:vAlign w:val="cente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r>
      <w:tr w:rsidR="0058289F">
        <w:tc>
          <w:tcPr>
            <w:tcW w:w="2730" w:type="dxa"/>
            <w:tcBorders>
              <w:top w:val="nil"/>
              <w:left w:val="nil"/>
              <w:bottom w:val="nil"/>
              <w:right w:val="nil"/>
            </w:tcBorders>
            <w:vAlign w:val="center"/>
            <w:hideMark/>
          </w:tcPr>
          <w:p w:rsidR="0058289F" w:rsidRDefault="0058289F"/>
        </w:tc>
        <w:tc>
          <w:tcPr>
            <w:tcW w:w="3840" w:type="dxa"/>
            <w:tcBorders>
              <w:top w:val="nil"/>
              <w:left w:val="nil"/>
              <w:bottom w:val="nil"/>
              <w:right w:val="nil"/>
            </w:tcBorders>
            <w:vAlign w:val="center"/>
            <w:hideMark/>
          </w:tcPr>
          <w:p w:rsidR="0058289F" w:rsidRDefault="0058289F"/>
        </w:tc>
        <w:tc>
          <w:tcPr>
            <w:tcW w:w="240" w:type="dxa"/>
            <w:tcBorders>
              <w:top w:val="nil"/>
              <w:left w:val="nil"/>
              <w:bottom w:val="nil"/>
              <w:right w:val="nil"/>
            </w:tcBorders>
            <w:vAlign w:val="center"/>
            <w:hideMark/>
          </w:tcPr>
          <w:p w:rsidR="0058289F" w:rsidRDefault="0058289F"/>
        </w:tc>
        <w:tc>
          <w:tcPr>
            <w:tcW w:w="2595" w:type="dxa"/>
            <w:tcBorders>
              <w:top w:val="nil"/>
              <w:left w:val="nil"/>
              <w:bottom w:val="nil"/>
              <w:right w:val="nil"/>
            </w:tcBorders>
            <w:vAlign w:val="center"/>
            <w:hideMark/>
          </w:tcPr>
          <w:p w:rsidR="0058289F" w:rsidRDefault="0058289F"/>
        </w:tc>
        <w:tc>
          <w:tcPr>
            <w:tcW w:w="15" w:type="dxa"/>
            <w:tcBorders>
              <w:top w:val="nil"/>
              <w:left w:val="nil"/>
              <w:bottom w:val="nil"/>
              <w:right w:val="nil"/>
            </w:tcBorders>
            <w:vAlign w:val="center"/>
            <w:hideMark/>
          </w:tcPr>
          <w:p w:rsidR="0058289F" w:rsidRDefault="0058289F"/>
        </w:tc>
      </w:tr>
    </w:tbl>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849" w:type="dxa"/>
        <w:tblInd w:w="93" w:type="dxa"/>
        <w:tblBorders>
          <w:top w:val="nil"/>
          <w:left w:val="nil"/>
          <w:bottom w:val="nil"/>
          <w:right w:val="nil"/>
        </w:tblBorders>
        <w:tblCellMar>
          <w:left w:w="0" w:type="dxa"/>
          <w:right w:w="0" w:type="dxa"/>
        </w:tblCellMar>
        <w:tblLook w:val="04A0"/>
      </w:tblPr>
      <w:tblGrid>
        <w:gridCol w:w="6412"/>
        <w:gridCol w:w="808"/>
        <w:gridCol w:w="2362"/>
        <w:gridCol w:w="276"/>
      </w:tblGrid>
      <w:tr w:rsidR="0058289F">
        <w:trPr>
          <w:trHeight w:val="260"/>
        </w:trPr>
        <w:tc>
          <w:tcPr>
            <w:tcW w:w="6412" w:type="dxa"/>
            <w:noWrap/>
            <w:tcMar>
              <w:top w:w="0" w:type="dxa"/>
              <w:left w:w="108" w:type="dxa"/>
              <w:bottom w:w="0" w:type="dxa"/>
              <w:right w:w="108" w:type="dxa"/>
            </w:tcMar>
            <w:vAlign w:val="bottom"/>
            <w:hideMark/>
          </w:tcPr>
          <w:p w:rsidR="0058289F" w:rsidRDefault="000E21EF">
            <w:pPr>
              <w:spacing w:before="240" w:beforeAutospacing="1" w:after="240" w:afterAutospacing="1"/>
              <w:jc w:val="center"/>
              <w:rPr>
                <w:rFonts w:ascii="Times New Roman" w:eastAsia="Times New Roman" w:hAnsi="Times New Roman" w:cs="Times New Roman"/>
                <w:b/>
                <w:i/>
                <w:sz w:val="24"/>
              </w:rPr>
            </w:pPr>
            <w:r>
              <w:rPr>
                <w:rFonts w:ascii="Times New Roman" w:eastAsia="Times New Roman" w:hAnsi="Times New Roman" w:cs="Times New Roman"/>
                <w:b/>
                <w:i/>
                <w:sz w:val="20"/>
                <w:szCs w:val="20"/>
              </w:rPr>
              <w:t>Централизованная бухгалтерия</w:t>
            </w:r>
          </w:p>
        </w:tc>
        <w:tc>
          <w:tcPr>
            <w:tcW w:w="808" w:type="dxa"/>
            <w:noWrap/>
            <w:tcMar>
              <w:top w:w="0" w:type="dxa"/>
              <w:left w:w="108" w:type="dxa"/>
              <w:bottom w:w="0" w:type="dxa"/>
              <w:right w:w="108" w:type="dxa"/>
            </w:tcMar>
            <w:vAlign w:val="bottom"/>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ОГРН</w:t>
            </w:r>
          </w:p>
        </w:tc>
        <w:tc>
          <w:tcPr>
            <w:tcW w:w="2362"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58289F" w:rsidRDefault="0058289F">
            <w:pPr>
              <w:rPr>
                <w:sz w:val="24"/>
              </w:rPr>
            </w:pPr>
          </w:p>
        </w:tc>
        <w:tc>
          <w:tcPr>
            <w:tcW w:w="267" w:type="dxa"/>
            <w:noWrap/>
            <w:tcMar>
              <w:top w:w="0" w:type="dxa"/>
              <w:left w:w="108" w:type="dxa"/>
              <w:bottom w:w="0" w:type="dxa"/>
              <w:right w:w="108" w:type="dxa"/>
            </w:tcMar>
            <w:vAlign w:val="bottom"/>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58289F">
        <w:trPr>
          <w:trHeight w:val="306"/>
        </w:trPr>
        <w:tc>
          <w:tcPr>
            <w:tcW w:w="6412" w:type="dxa"/>
            <w:tcBorders>
              <w:top w:val="nil"/>
              <w:left w:val="nil"/>
              <w:bottom w:val="single" w:sz="8" w:space="0" w:color="000000"/>
              <w:right w:val="nil"/>
            </w:tcBorders>
            <w:noWrap/>
            <w:tcMar>
              <w:top w:w="0" w:type="dxa"/>
              <w:left w:w="108" w:type="dxa"/>
              <w:bottom w:w="0" w:type="dxa"/>
              <w:right w:w="108" w:type="dxa"/>
            </w:tcMar>
            <w:vAlign w:val="bottom"/>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xml:space="preserve">               </w:t>
            </w:r>
          </w:p>
        </w:tc>
        <w:tc>
          <w:tcPr>
            <w:tcW w:w="808" w:type="dxa"/>
            <w:noWrap/>
            <w:tcMar>
              <w:top w:w="0" w:type="dxa"/>
              <w:left w:w="108" w:type="dxa"/>
              <w:bottom w:w="0" w:type="dxa"/>
              <w:right w:w="108" w:type="dxa"/>
            </w:tcMar>
            <w:vAlign w:val="bottom"/>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ИНН</w:t>
            </w:r>
          </w:p>
        </w:tc>
        <w:tc>
          <w:tcPr>
            <w:tcW w:w="236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58289F" w:rsidRDefault="0058289F">
            <w:pPr>
              <w:rPr>
                <w:sz w:val="24"/>
              </w:rPr>
            </w:pPr>
          </w:p>
        </w:tc>
        <w:tc>
          <w:tcPr>
            <w:tcW w:w="0" w:type="auto"/>
            <w:tcMar>
              <w:top w:w="0" w:type="dxa"/>
              <w:left w:w="108" w:type="dxa"/>
              <w:bottom w:w="0" w:type="dxa"/>
              <w:right w:w="108" w:type="dxa"/>
            </w:tcMar>
            <w:vAlign w:val="center"/>
            <w:hideMark/>
          </w:tcPr>
          <w:p w:rsidR="0058289F" w:rsidRDefault="0058289F">
            <w:pPr>
              <w:rPr>
                <w:sz w:val="24"/>
              </w:rPr>
            </w:pPr>
          </w:p>
        </w:tc>
      </w:tr>
      <w:tr w:rsidR="0058289F">
        <w:trPr>
          <w:trHeight w:val="327"/>
        </w:trPr>
        <w:tc>
          <w:tcPr>
            <w:tcW w:w="6412" w:type="dxa"/>
            <w:tcBorders>
              <w:top w:val="nil"/>
              <w:left w:val="nil"/>
              <w:bottom w:val="nil"/>
              <w:right w:val="nil"/>
            </w:tcBorders>
            <w:noWrap/>
            <w:tcMar>
              <w:top w:w="0" w:type="dxa"/>
              <w:left w:w="108" w:type="dxa"/>
              <w:bottom w:w="0" w:type="dxa"/>
              <w:right w:w="108" w:type="dxa"/>
            </w:tcMar>
            <w:vAlign w:val="bottom"/>
            <w:hideMark/>
          </w:tcPr>
          <w:p w:rsidR="0058289F" w:rsidRDefault="000E21EF">
            <w:pPr>
              <w:spacing w:line="240" w:lineRule="atLeast"/>
              <w:jc w:val="center"/>
              <w:rPr>
                <w:rFonts w:ascii="Times New Roman" w:eastAsia="Times New Roman" w:hAnsi="Times New Roman" w:cs="Times New Roman"/>
                <w:sz w:val="24"/>
              </w:rPr>
            </w:pPr>
            <w:r>
              <w:rPr>
                <w:rFonts w:ascii="Times New Roman" w:eastAsia="Times New Roman" w:hAnsi="Times New Roman" w:cs="Times New Roman"/>
                <w:sz w:val="15"/>
                <w:szCs w:val="15"/>
              </w:rPr>
              <w:t>(наименование, местонахождение)</w:t>
            </w:r>
          </w:p>
        </w:tc>
        <w:tc>
          <w:tcPr>
            <w:tcW w:w="808" w:type="dxa"/>
            <w:noWrap/>
            <w:tcMar>
              <w:top w:w="0" w:type="dxa"/>
              <w:left w:w="108" w:type="dxa"/>
              <w:bottom w:w="0" w:type="dxa"/>
              <w:right w:w="108" w:type="dxa"/>
            </w:tcMar>
            <w:vAlign w:val="bottom"/>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КПП</w:t>
            </w:r>
          </w:p>
        </w:tc>
        <w:tc>
          <w:tcPr>
            <w:tcW w:w="236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58289F" w:rsidRDefault="0058289F">
            <w:pPr>
              <w:rPr>
                <w:sz w:val="24"/>
              </w:rPr>
            </w:pPr>
          </w:p>
        </w:tc>
        <w:tc>
          <w:tcPr>
            <w:tcW w:w="267" w:type="dxa"/>
            <w:noWrap/>
            <w:tcMar>
              <w:top w:w="0" w:type="dxa"/>
              <w:left w:w="108" w:type="dxa"/>
              <w:bottom w:w="0" w:type="dxa"/>
              <w:right w:w="108" w:type="dxa"/>
            </w:tcMar>
            <w:vAlign w:val="bottom"/>
            <w:hideMark/>
          </w:tcPr>
          <w:p w:rsidR="0058289F" w:rsidRDefault="0058289F">
            <w:pPr>
              <w:rPr>
                <w:sz w:val="24"/>
              </w:rPr>
            </w:pPr>
          </w:p>
        </w:tc>
      </w:tr>
      <w:tr w:rsidR="0058289F">
        <w:trPr>
          <w:trHeight w:val="260"/>
        </w:trPr>
        <w:tc>
          <w:tcPr>
            <w:tcW w:w="6412" w:type="dxa"/>
            <w:noWrap/>
            <w:tcMar>
              <w:top w:w="0" w:type="dxa"/>
              <w:left w:w="108" w:type="dxa"/>
              <w:bottom w:w="0" w:type="dxa"/>
              <w:right w:w="108" w:type="dxa"/>
            </w:tcMar>
            <w:vAlign w:val="bottom"/>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0" w:type="auto"/>
            <w:tcMar>
              <w:top w:w="0" w:type="dxa"/>
              <w:left w:w="108" w:type="dxa"/>
              <w:bottom w:w="0" w:type="dxa"/>
              <w:right w:w="108" w:type="dxa"/>
            </w:tcMar>
            <w:vAlign w:val="center"/>
            <w:hideMark/>
          </w:tcPr>
          <w:p w:rsidR="0058289F" w:rsidRDefault="0058289F">
            <w:pPr>
              <w:rPr>
                <w:sz w:val="24"/>
              </w:rPr>
            </w:pPr>
          </w:p>
        </w:tc>
        <w:tc>
          <w:tcPr>
            <w:tcW w:w="0" w:type="auto"/>
            <w:tcMar>
              <w:top w:w="0" w:type="dxa"/>
              <w:left w:w="108" w:type="dxa"/>
              <w:bottom w:w="0" w:type="dxa"/>
              <w:right w:w="108" w:type="dxa"/>
            </w:tcMar>
            <w:vAlign w:val="center"/>
            <w:hideMark/>
          </w:tcPr>
          <w:p w:rsidR="0058289F" w:rsidRDefault="0058289F">
            <w:pPr>
              <w:rPr>
                <w:sz w:val="24"/>
              </w:rPr>
            </w:pPr>
          </w:p>
        </w:tc>
        <w:tc>
          <w:tcPr>
            <w:tcW w:w="0" w:type="auto"/>
            <w:tcMar>
              <w:top w:w="0" w:type="dxa"/>
              <w:left w:w="108" w:type="dxa"/>
              <w:bottom w:w="0" w:type="dxa"/>
              <w:right w:w="108" w:type="dxa"/>
            </w:tcMar>
            <w:vAlign w:val="center"/>
            <w:hideMark/>
          </w:tcPr>
          <w:p w:rsidR="0058289F" w:rsidRDefault="0058289F">
            <w:pPr>
              <w:rPr>
                <w:sz w:val="24"/>
              </w:rPr>
            </w:pPr>
          </w:p>
        </w:tc>
      </w:tr>
    </w:tbl>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24"/>
          <w:szCs w:val="24"/>
        </w:rPr>
        <w:lastRenderedPageBreak/>
        <w:t> </w:t>
      </w:r>
    </w:p>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780" w:type="dxa"/>
        <w:tblCellSpacing w:w="15" w:type="dxa"/>
        <w:tblBorders>
          <w:top w:val="nil"/>
          <w:left w:val="nil"/>
          <w:bottom w:val="nil"/>
          <w:right w:val="nil"/>
        </w:tblBorders>
        <w:tblCellMar>
          <w:left w:w="0" w:type="dxa"/>
          <w:right w:w="0" w:type="dxa"/>
        </w:tblCellMar>
        <w:tblLook w:val="04A0"/>
      </w:tblPr>
      <w:tblGrid>
        <w:gridCol w:w="1275"/>
        <w:gridCol w:w="1958"/>
        <w:gridCol w:w="189"/>
        <w:gridCol w:w="3598"/>
        <w:gridCol w:w="262"/>
        <w:gridCol w:w="2498"/>
      </w:tblGrid>
      <w:tr w:rsidR="0058289F">
        <w:trPr>
          <w:trHeight w:val="75"/>
          <w:tblCellSpacing w:w="15" w:type="dxa"/>
        </w:trPr>
        <w:tc>
          <w:tcPr>
            <w:tcW w:w="1227" w:type="dxa"/>
            <w:tcMar>
              <w:top w:w="15" w:type="dxa"/>
              <w:left w:w="15" w:type="dxa"/>
              <w:bottom w:w="15" w:type="dxa"/>
              <w:right w:w="15" w:type="dxa"/>
            </w:tcMar>
            <w:vAlign w:val="cente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Руководитель</w:t>
            </w:r>
          </w:p>
        </w:tc>
        <w:tc>
          <w:tcPr>
            <w:tcW w:w="1929" w:type="dxa"/>
            <w:tcMar>
              <w:top w:w="15" w:type="dxa"/>
              <w:left w:w="15" w:type="dxa"/>
              <w:bottom w:w="15" w:type="dxa"/>
              <w:right w:w="15" w:type="dxa"/>
            </w:tcMar>
            <w:vAlign w:val="cente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59" w:type="dxa"/>
            <w:tcMar>
              <w:top w:w="0" w:type="dxa"/>
              <w:left w:w="0" w:type="dxa"/>
              <w:bottom w:w="0" w:type="dxa"/>
              <w:right w:w="0" w:type="dxa"/>
            </w:tcMa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570" w:type="dxa"/>
            <w:tcMar>
              <w:top w:w="15" w:type="dxa"/>
              <w:left w:w="15" w:type="dxa"/>
              <w:bottom w:w="15" w:type="dxa"/>
              <w:right w:w="15" w:type="dxa"/>
            </w:tcMar>
            <w:vAlign w:val="center"/>
            <w:hideMark/>
          </w:tcPr>
          <w:p w:rsidR="0058289F" w:rsidRDefault="0058289F">
            <w:pPr>
              <w:rPr>
                <w:sz w:val="8"/>
              </w:rPr>
            </w:pPr>
          </w:p>
        </w:tc>
        <w:tc>
          <w:tcPr>
            <w:tcW w:w="232" w:type="dxa"/>
            <w:tcMar>
              <w:top w:w="0" w:type="dxa"/>
              <w:left w:w="0" w:type="dxa"/>
              <w:bottom w:w="0" w:type="dxa"/>
              <w:right w:w="0" w:type="dxa"/>
            </w:tcMa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454" w:type="dxa"/>
            <w:tcMar>
              <w:top w:w="15" w:type="dxa"/>
              <w:left w:w="15" w:type="dxa"/>
              <w:bottom w:w="15" w:type="dxa"/>
              <w:right w:w="15" w:type="dxa"/>
            </w:tcMar>
            <w:vAlign w:val="center"/>
            <w:hideMark/>
          </w:tcPr>
          <w:p w:rsidR="0058289F" w:rsidRDefault="0058289F">
            <w:pPr>
              <w:rPr>
                <w:sz w:val="8"/>
              </w:rPr>
            </w:pPr>
          </w:p>
        </w:tc>
      </w:tr>
      <w:tr w:rsidR="0058289F">
        <w:trPr>
          <w:trHeight w:val="195"/>
          <w:tblCellSpacing w:w="15" w:type="dxa"/>
        </w:trPr>
        <w:tc>
          <w:tcPr>
            <w:tcW w:w="1227" w:type="dxa"/>
            <w:tcMar>
              <w:top w:w="15" w:type="dxa"/>
              <w:left w:w="15" w:type="dxa"/>
              <w:bottom w:w="15" w:type="dxa"/>
              <w:right w:w="15" w:type="dxa"/>
            </w:tcMar>
            <w:vAlign w:val="center"/>
            <w:hideMark/>
          </w:tcPr>
          <w:p w:rsidR="0058289F" w:rsidRDefault="000E21EF">
            <w:pPr>
              <w:spacing w:line="195" w:lineRule="atLeast"/>
              <w:rPr>
                <w:rFonts w:ascii="Times New Roman" w:eastAsia="Times New Roman" w:hAnsi="Times New Roman" w:cs="Times New Roman"/>
                <w:sz w:val="24"/>
              </w:rPr>
            </w:pPr>
            <w:r>
              <w:rPr>
                <w:rFonts w:ascii="Times New Roman" w:eastAsia="Times New Roman" w:hAnsi="Times New Roman" w:cs="Times New Roman"/>
                <w:sz w:val="16"/>
                <w:szCs w:val="16"/>
              </w:rPr>
              <w:t>(уполномоченное лицо)</w:t>
            </w:r>
          </w:p>
        </w:tc>
        <w:tc>
          <w:tcPr>
            <w:tcW w:w="1929" w:type="dxa"/>
            <w:tcBorders>
              <w:top w:val="single" w:sz="8" w:space="0" w:color="000000"/>
              <w:left w:val="nil"/>
              <w:bottom w:val="nil"/>
              <w:right w:val="nil"/>
            </w:tcBorders>
            <w:tcMar>
              <w:top w:w="15" w:type="dxa"/>
              <w:left w:w="15" w:type="dxa"/>
              <w:bottom w:w="15" w:type="dxa"/>
              <w:right w:w="15" w:type="dxa"/>
            </w:tcMar>
            <w:vAlign w:val="center"/>
            <w:hideMark/>
          </w:tcPr>
          <w:p w:rsidR="0058289F" w:rsidRDefault="000E21EF">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(должность)</w:t>
            </w:r>
          </w:p>
        </w:tc>
        <w:tc>
          <w:tcPr>
            <w:tcW w:w="159" w:type="dxa"/>
            <w:tcMar>
              <w:top w:w="0" w:type="dxa"/>
              <w:left w:w="0" w:type="dxa"/>
              <w:bottom w:w="0" w:type="dxa"/>
              <w:right w:w="0" w:type="dxa"/>
            </w:tcMar>
            <w:hideMark/>
          </w:tcPr>
          <w:p w:rsidR="0058289F" w:rsidRDefault="000E21EF">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570" w:type="dxa"/>
            <w:tcBorders>
              <w:top w:val="single" w:sz="8" w:space="0" w:color="000000"/>
              <w:left w:val="nil"/>
              <w:bottom w:val="nil"/>
              <w:right w:val="nil"/>
            </w:tcBorders>
            <w:tcMar>
              <w:top w:w="15" w:type="dxa"/>
              <w:left w:w="15" w:type="dxa"/>
              <w:bottom w:w="15" w:type="dxa"/>
              <w:right w:w="15" w:type="dxa"/>
            </w:tcMar>
            <w:vAlign w:val="center"/>
            <w:hideMark/>
          </w:tcPr>
          <w:p w:rsidR="0058289F" w:rsidRDefault="000E21EF">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 (подпись) </w:t>
            </w:r>
          </w:p>
        </w:tc>
        <w:tc>
          <w:tcPr>
            <w:tcW w:w="232" w:type="dxa"/>
            <w:tcMar>
              <w:top w:w="0" w:type="dxa"/>
              <w:left w:w="0" w:type="dxa"/>
              <w:bottom w:w="0" w:type="dxa"/>
              <w:right w:w="0" w:type="dxa"/>
            </w:tcMar>
            <w:hideMark/>
          </w:tcPr>
          <w:p w:rsidR="0058289F" w:rsidRDefault="000E21EF">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454" w:type="dxa"/>
            <w:tcBorders>
              <w:top w:val="single" w:sz="8" w:space="0" w:color="000000"/>
              <w:left w:val="nil"/>
              <w:bottom w:val="nil"/>
              <w:right w:val="nil"/>
            </w:tcBorders>
            <w:tcMar>
              <w:top w:w="15" w:type="dxa"/>
              <w:left w:w="15" w:type="dxa"/>
              <w:bottom w:w="15" w:type="dxa"/>
              <w:right w:w="15" w:type="dxa"/>
            </w:tcMar>
            <w:vAlign w:val="center"/>
            <w:hideMark/>
          </w:tcPr>
          <w:p w:rsidR="0058289F" w:rsidRDefault="000E21EF">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r>
    </w:tbl>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810" w:type="dxa"/>
        <w:tblInd w:w="-34" w:type="dxa"/>
        <w:tblBorders>
          <w:top w:val="nil"/>
          <w:left w:val="nil"/>
          <w:bottom w:val="nil"/>
          <w:right w:val="nil"/>
        </w:tblBorders>
        <w:tblCellMar>
          <w:left w:w="0" w:type="dxa"/>
          <w:right w:w="0" w:type="dxa"/>
        </w:tblCellMar>
        <w:tblLook w:val="04A0"/>
      </w:tblPr>
      <w:tblGrid>
        <w:gridCol w:w="1086"/>
        <w:gridCol w:w="1835"/>
        <w:gridCol w:w="256"/>
        <w:gridCol w:w="2911"/>
        <w:gridCol w:w="256"/>
        <w:gridCol w:w="564"/>
        <w:gridCol w:w="515"/>
        <w:gridCol w:w="489"/>
        <w:gridCol w:w="320"/>
        <w:gridCol w:w="1578"/>
      </w:tblGrid>
      <w:tr w:rsidR="0058289F">
        <w:trPr>
          <w:trHeight w:val="80"/>
        </w:trPr>
        <w:tc>
          <w:tcPr>
            <w:tcW w:w="1185" w:type="dxa"/>
            <w:tcMar>
              <w:top w:w="0" w:type="dxa"/>
              <w:left w:w="108" w:type="dxa"/>
              <w:bottom w:w="0" w:type="dxa"/>
              <w:right w:w="108" w:type="dxa"/>
            </w:tcMar>
            <w:vAlign w:val="cente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1826" w:type="dxa"/>
            <w:tcMar>
              <w:top w:w="0" w:type="dxa"/>
              <w:left w:w="108" w:type="dxa"/>
              <w:bottom w:w="0" w:type="dxa"/>
              <w:right w:w="108" w:type="dxa"/>
            </w:tcMa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1991" w:type="dxa"/>
            <w:gridSpan w:val="2"/>
            <w:tcMar>
              <w:top w:w="0" w:type="dxa"/>
              <w:left w:w="108" w:type="dxa"/>
              <w:bottom w:w="0" w:type="dxa"/>
              <w:right w:w="108" w:type="dxa"/>
            </w:tcMar>
            <w:vAlign w:val="center"/>
            <w:hideMark/>
          </w:tcPr>
          <w:p w:rsidR="0058289F" w:rsidRDefault="0058289F">
            <w:pPr>
              <w:rPr>
                <w:sz w:val="8"/>
              </w:rPr>
            </w:pPr>
          </w:p>
        </w:tc>
        <w:tc>
          <w:tcPr>
            <w:tcW w:w="1519" w:type="dxa"/>
            <w:gridSpan w:val="3"/>
            <w:tcMar>
              <w:top w:w="0" w:type="dxa"/>
              <w:left w:w="108" w:type="dxa"/>
              <w:bottom w:w="0" w:type="dxa"/>
              <w:right w:w="108" w:type="dxa"/>
            </w:tcMa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1001" w:type="dxa"/>
            <w:gridSpan w:val="2"/>
            <w:tcMar>
              <w:top w:w="0" w:type="dxa"/>
              <w:left w:w="108" w:type="dxa"/>
              <w:bottom w:w="0" w:type="dxa"/>
              <w:right w:w="108" w:type="dxa"/>
            </w:tcMar>
            <w:vAlign w:val="center"/>
            <w:hideMark/>
          </w:tcPr>
          <w:p w:rsidR="0058289F" w:rsidRDefault="0058289F">
            <w:pPr>
              <w:rPr>
                <w:sz w:val="8"/>
              </w:rPr>
            </w:pPr>
          </w:p>
        </w:tc>
        <w:tc>
          <w:tcPr>
            <w:tcW w:w="2293" w:type="dxa"/>
            <w:tcMar>
              <w:top w:w="0" w:type="dxa"/>
              <w:left w:w="108" w:type="dxa"/>
              <w:bottom w:w="0" w:type="dxa"/>
              <w:right w:w="108" w:type="dxa"/>
            </w:tcMa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58289F">
        <w:trPr>
          <w:trHeight w:val="60"/>
        </w:trPr>
        <w:tc>
          <w:tcPr>
            <w:tcW w:w="1185" w:type="dxa"/>
            <w:tcMar>
              <w:top w:w="15" w:type="dxa"/>
              <w:left w:w="15" w:type="dxa"/>
              <w:bottom w:w="15" w:type="dxa"/>
              <w:right w:w="15" w:type="dxa"/>
            </w:tcMar>
            <w:vAlign w:val="cente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826" w:type="dxa"/>
            <w:tcMar>
              <w:top w:w="15" w:type="dxa"/>
              <w:left w:w="15" w:type="dxa"/>
              <w:bottom w:w="15" w:type="dxa"/>
              <w:right w:w="15" w:type="dxa"/>
            </w:tcMar>
            <w:vAlign w:val="cente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36" w:type="dxa"/>
            <w:tcMar>
              <w:top w:w="0" w:type="dxa"/>
              <w:left w:w="108" w:type="dxa"/>
              <w:bottom w:w="0" w:type="dxa"/>
              <w:right w:w="108" w:type="dxa"/>
            </w:tcMar>
            <w:hideMark/>
          </w:tcPr>
          <w:p w:rsidR="0058289F" w:rsidRDefault="000E21EF">
            <w:pPr>
              <w:ind w:left="-232" w:firstLine="232"/>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755" w:type="dxa"/>
            <w:tcMar>
              <w:top w:w="15" w:type="dxa"/>
              <w:left w:w="15" w:type="dxa"/>
              <w:bottom w:w="15" w:type="dxa"/>
              <w:right w:w="15" w:type="dxa"/>
            </w:tcMar>
            <w:vAlign w:val="center"/>
            <w:hideMark/>
          </w:tcPr>
          <w:p w:rsidR="0058289F" w:rsidRDefault="000E21EF">
            <w:pPr>
              <w:ind w:left="-232" w:firstLine="232"/>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36" w:type="dxa"/>
            <w:tcMar>
              <w:top w:w="0" w:type="dxa"/>
              <w:left w:w="108" w:type="dxa"/>
              <w:bottom w:w="0" w:type="dxa"/>
              <w:right w:w="108" w:type="dxa"/>
            </w:tcMar>
            <w:hideMark/>
          </w:tcPr>
          <w:p w:rsidR="0058289F" w:rsidRDefault="000E21EF">
            <w:pPr>
              <w:ind w:left="-498"/>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924" w:type="dxa"/>
            <w:gridSpan w:val="3"/>
            <w:tcMar>
              <w:top w:w="15" w:type="dxa"/>
              <w:left w:w="15" w:type="dxa"/>
              <w:bottom w:w="15" w:type="dxa"/>
              <w:right w:w="15" w:type="dxa"/>
            </w:tcMar>
            <w:vAlign w:val="center"/>
            <w:hideMark/>
          </w:tcPr>
          <w:p w:rsidR="0058289F" w:rsidRDefault="000E21EF">
            <w:pPr>
              <w:ind w:left="-498"/>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60" w:type="dxa"/>
            <w:tcMar>
              <w:top w:w="0" w:type="dxa"/>
              <w:left w:w="108" w:type="dxa"/>
              <w:bottom w:w="0" w:type="dxa"/>
              <w:right w:w="108" w:type="dxa"/>
            </w:tcMa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293" w:type="dxa"/>
            <w:tcMar>
              <w:top w:w="15" w:type="dxa"/>
              <w:left w:w="15" w:type="dxa"/>
              <w:bottom w:w="15" w:type="dxa"/>
              <w:right w:w="15" w:type="dxa"/>
            </w:tcMar>
            <w:vAlign w:val="cente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r>
      <w:tr w:rsidR="0058289F">
        <w:trPr>
          <w:trHeight w:val="486"/>
        </w:trPr>
        <w:tc>
          <w:tcPr>
            <w:tcW w:w="1185" w:type="dxa"/>
            <w:tcMar>
              <w:top w:w="15" w:type="dxa"/>
              <w:left w:w="15" w:type="dxa"/>
              <w:bottom w:w="15" w:type="dxa"/>
              <w:right w:w="15" w:type="dxa"/>
            </w:tcMar>
            <w:vAlign w:val="cente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Исполнитель</w:t>
            </w:r>
          </w:p>
        </w:tc>
        <w:tc>
          <w:tcPr>
            <w:tcW w:w="1826" w:type="dxa"/>
            <w:tcBorders>
              <w:top w:val="nil"/>
              <w:left w:val="nil"/>
              <w:bottom w:val="single" w:sz="8" w:space="0" w:color="000000"/>
              <w:right w:val="nil"/>
            </w:tcBorders>
            <w:tcMar>
              <w:top w:w="15" w:type="dxa"/>
              <w:left w:w="15" w:type="dxa"/>
              <w:bottom w:w="15" w:type="dxa"/>
              <w:right w:w="15" w:type="dxa"/>
            </w:tcMar>
            <w:vAlign w:val="cente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p w:rsidR="0058289F" w:rsidRDefault="0058289F">
            <w:pPr>
              <w:jc w:val="center"/>
              <w:rPr>
                <w:rFonts w:ascii="Times New Roman" w:eastAsia="Times New Roman" w:hAnsi="Times New Roman" w:cs="Times New Roman"/>
                <w:sz w:val="24"/>
              </w:rPr>
            </w:pPr>
          </w:p>
        </w:tc>
        <w:tc>
          <w:tcPr>
            <w:tcW w:w="236" w:type="dxa"/>
            <w:tcMar>
              <w:top w:w="0" w:type="dxa"/>
              <w:left w:w="108" w:type="dxa"/>
              <w:bottom w:w="0" w:type="dxa"/>
              <w:right w:w="108" w:type="dxa"/>
            </w:tcMa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755" w:type="dxa"/>
            <w:tcBorders>
              <w:top w:val="nil"/>
              <w:left w:val="nil"/>
              <w:bottom w:val="single" w:sz="8" w:space="0" w:color="000000"/>
              <w:right w:val="nil"/>
            </w:tcBorders>
            <w:tcMar>
              <w:top w:w="15" w:type="dxa"/>
              <w:left w:w="15" w:type="dxa"/>
              <w:bottom w:w="15" w:type="dxa"/>
              <w:right w:w="15" w:type="dxa"/>
            </w:tcMar>
            <w:vAlign w:val="center"/>
            <w:hideMark/>
          </w:tcPr>
          <w:p w:rsidR="0058289F" w:rsidRDefault="0058289F">
            <w:pPr>
              <w:rPr>
                <w:sz w:val="24"/>
              </w:rPr>
            </w:pPr>
          </w:p>
        </w:tc>
        <w:tc>
          <w:tcPr>
            <w:tcW w:w="236" w:type="dxa"/>
            <w:tcMar>
              <w:top w:w="0" w:type="dxa"/>
              <w:left w:w="108" w:type="dxa"/>
              <w:bottom w:w="0" w:type="dxa"/>
              <w:right w:w="108" w:type="dxa"/>
            </w:tcMa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924" w:type="dxa"/>
            <w:gridSpan w:val="3"/>
            <w:tcBorders>
              <w:top w:val="nil"/>
              <w:left w:val="nil"/>
              <w:bottom w:val="single" w:sz="8" w:space="0" w:color="000000"/>
              <w:right w:val="nil"/>
            </w:tcBorders>
            <w:tcMar>
              <w:top w:w="15" w:type="dxa"/>
              <w:left w:w="15" w:type="dxa"/>
              <w:bottom w:w="15" w:type="dxa"/>
              <w:right w:w="15" w:type="dxa"/>
            </w:tcMar>
            <w:vAlign w:val="center"/>
            <w:hideMark/>
          </w:tcPr>
          <w:p w:rsidR="0058289F" w:rsidRDefault="0058289F">
            <w:pPr>
              <w:jc w:val="center"/>
              <w:rPr>
                <w:rFonts w:ascii="Times New Roman" w:eastAsia="Times New Roman" w:hAnsi="Times New Roman" w:cs="Times New Roman"/>
                <w:sz w:val="24"/>
              </w:rPr>
            </w:pPr>
          </w:p>
        </w:tc>
        <w:tc>
          <w:tcPr>
            <w:tcW w:w="360" w:type="dxa"/>
            <w:tcMar>
              <w:top w:w="0" w:type="dxa"/>
              <w:left w:w="108" w:type="dxa"/>
              <w:bottom w:w="0" w:type="dxa"/>
              <w:right w:w="108" w:type="dxa"/>
            </w:tcMar>
            <w:hideMark/>
          </w:tcPr>
          <w:p w:rsidR="0058289F" w:rsidRDefault="000E21EF">
            <w:pPr>
              <w:ind w:left="-323"/>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293" w:type="dxa"/>
            <w:tcBorders>
              <w:top w:val="nil"/>
              <w:left w:val="nil"/>
              <w:bottom w:val="single" w:sz="8" w:space="0" w:color="000000"/>
              <w:right w:val="nil"/>
            </w:tcBorders>
            <w:tcMar>
              <w:top w:w="15" w:type="dxa"/>
              <w:left w:w="15" w:type="dxa"/>
              <w:bottom w:w="15" w:type="dxa"/>
              <w:right w:w="15" w:type="dxa"/>
            </w:tcMar>
            <w:vAlign w:val="center"/>
            <w:hideMark/>
          </w:tcPr>
          <w:p w:rsidR="0058289F" w:rsidRDefault="0058289F">
            <w:pPr>
              <w:rPr>
                <w:sz w:val="24"/>
              </w:rPr>
            </w:pPr>
          </w:p>
        </w:tc>
      </w:tr>
      <w:tr w:rsidR="0058289F">
        <w:trPr>
          <w:trHeight w:val="226"/>
        </w:trPr>
        <w:tc>
          <w:tcPr>
            <w:tcW w:w="1185" w:type="dxa"/>
            <w:tcMar>
              <w:top w:w="15" w:type="dxa"/>
              <w:left w:w="15" w:type="dxa"/>
              <w:bottom w:w="15" w:type="dxa"/>
              <w:right w:w="15" w:type="dxa"/>
            </w:tcMar>
            <w:hideMark/>
          </w:tcPr>
          <w:p w:rsidR="0058289F" w:rsidRDefault="0058289F"/>
        </w:tc>
        <w:tc>
          <w:tcPr>
            <w:tcW w:w="1826" w:type="dxa"/>
            <w:tcBorders>
              <w:top w:val="nil"/>
              <w:left w:val="nil"/>
              <w:bottom w:val="nil"/>
              <w:right w:val="nil"/>
            </w:tcBorders>
            <w:tcMar>
              <w:top w:w="15" w:type="dxa"/>
              <w:left w:w="15" w:type="dxa"/>
              <w:bottom w:w="15" w:type="dxa"/>
              <w:right w:w="15" w:type="dxa"/>
            </w:tcMa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(должность)</w:t>
            </w:r>
          </w:p>
        </w:tc>
        <w:tc>
          <w:tcPr>
            <w:tcW w:w="236" w:type="dxa"/>
            <w:tcMar>
              <w:top w:w="0" w:type="dxa"/>
              <w:left w:w="108" w:type="dxa"/>
              <w:bottom w:w="0" w:type="dxa"/>
              <w:right w:w="108" w:type="dxa"/>
            </w:tcMa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755" w:type="dxa"/>
            <w:tcBorders>
              <w:top w:val="nil"/>
              <w:left w:val="nil"/>
              <w:bottom w:val="nil"/>
              <w:right w:val="nil"/>
            </w:tcBorders>
            <w:tcMar>
              <w:top w:w="15" w:type="dxa"/>
              <w:left w:w="15" w:type="dxa"/>
              <w:bottom w:w="15" w:type="dxa"/>
              <w:right w:w="15" w:type="dxa"/>
            </w:tcMa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(подпись)</w:t>
            </w:r>
          </w:p>
        </w:tc>
        <w:tc>
          <w:tcPr>
            <w:tcW w:w="236" w:type="dxa"/>
            <w:tcMar>
              <w:top w:w="0" w:type="dxa"/>
              <w:left w:w="108" w:type="dxa"/>
              <w:bottom w:w="0" w:type="dxa"/>
              <w:right w:w="108" w:type="dxa"/>
            </w:tcMa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924" w:type="dxa"/>
            <w:gridSpan w:val="3"/>
            <w:tcBorders>
              <w:top w:val="nil"/>
              <w:left w:val="nil"/>
              <w:bottom w:val="nil"/>
              <w:right w:val="nil"/>
            </w:tcBorders>
            <w:tcMar>
              <w:top w:w="15" w:type="dxa"/>
              <w:left w:w="15" w:type="dxa"/>
              <w:bottom w:w="15" w:type="dxa"/>
              <w:right w:w="15" w:type="dxa"/>
            </w:tcMar>
            <w:hideMark/>
          </w:tcPr>
          <w:p w:rsidR="0058289F" w:rsidRDefault="000E21EF">
            <w:pPr>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c>
          <w:tcPr>
            <w:tcW w:w="360" w:type="dxa"/>
            <w:tcMar>
              <w:top w:w="0" w:type="dxa"/>
              <w:left w:w="108" w:type="dxa"/>
              <w:bottom w:w="0" w:type="dxa"/>
              <w:right w:w="108" w:type="dxa"/>
            </w:tcMar>
            <w:hideMark/>
          </w:tcPr>
          <w:p w:rsidR="0058289F" w:rsidRDefault="000E21EF">
            <w:pPr>
              <w:ind w:left="-323"/>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293" w:type="dxa"/>
            <w:tcBorders>
              <w:top w:val="nil"/>
              <w:left w:val="nil"/>
              <w:bottom w:val="nil"/>
              <w:right w:val="nil"/>
            </w:tcBorders>
            <w:tcMar>
              <w:top w:w="15" w:type="dxa"/>
              <w:left w:w="15" w:type="dxa"/>
              <w:bottom w:w="15" w:type="dxa"/>
              <w:right w:w="15" w:type="dxa"/>
            </w:tcMar>
            <w:hideMark/>
          </w:tcPr>
          <w:p w:rsidR="0058289F" w:rsidRDefault="000E21EF">
            <w:pPr>
              <w:ind w:left="-323"/>
              <w:jc w:val="center"/>
              <w:rPr>
                <w:rFonts w:ascii="Times New Roman" w:eastAsia="Times New Roman" w:hAnsi="Times New Roman" w:cs="Times New Roman"/>
                <w:sz w:val="24"/>
              </w:rPr>
            </w:pPr>
            <w:r>
              <w:rPr>
                <w:rFonts w:ascii="Times New Roman" w:eastAsia="Times New Roman" w:hAnsi="Times New Roman" w:cs="Times New Roman"/>
                <w:sz w:val="16"/>
                <w:szCs w:val="16"/>
              </w:rPr>
              <w:t xml:space="preserve">  (телефон, </w:t>
            </w:r>
            <w:proofErr w:type="spellStart"/>
            <w:r>
              <w:rPr>
                <w:rFonts w:ascii="Times New Roman" w:eastAsia="Times New Roman" w:hAnsi="Times New Roman" w:cs="Times New Roman"/>
                <w:sz w:val="16"/>
                <w:szCs w:val="16"/>
              </w:rPr>
              <w:t>e-mail</w:t>
            </w:r>
            <w:proofErr w:type="spellEnd"/>
            <w:r>
              <w:rPr>
                <w:rFonts w:ascii="Times New Roman" w:eastAsia="Times New Roman" w:hAnsi="Times New Roman" w:cs="Times New Roman"/>
                <w:sz w:val="16"/>
                <w:szCs w:val="16"/>
              </w:rPr>
              <w:t>)</w:t>
            </w:r>
          </w:p>
        </w:tc>
      </w:tr>
      <w:tr w:rsidR="0058289F">
        <w:trPr>
          <w:trHeight w:val="74"/>
        </w:trPr>
        <w:tc>
          <w:tcPr>
            <w:tcW w:w="3011" w:type="dxa"/>
            <w:gridSpan w:val="2"/>
            <w:tcMar>
              <w:top w:w="0" w:type="dxa"/>
              <w:left w:w="108" w:type="dxa"/>
              <w:bottom w:w="0" w:type="dxa"/>
              <w:right w:w="108" w:type="dxa"/>
            </w:tcMa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36" w:type="dxa"/>
            <w:tcMar>
              <w:top w:w="0" w:type="dxa"/>
              <w:left w:w="108" w:type="dxa"/>
              <w:bottom w:w="0" w:type="dxa"/>
              <w:right w:w="108" w:type="dxa"/>
            </w:tcMa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42" w:type="dxa"/>
            <w:gridSpan w:val="3"/>
            <w:tcMar>
              <w:top w:w="0" w:type="dxa"/>
              <w:left w:w="108" w:type="dxa"/>
              <w:bottom w:w="0" w:type="dxa"/>
              <w:right w:w="108" w:type="dxa"/>
            </w:tcMa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926" w:type="dxa"/>
            <w:gridSpan w:val="4"/>
            <w:tcMar>
              <w:top w:w="15" w:type="dxa"/>
              <w:left w:w="15" w:type="dxa"/>
              <w:bottom w:w="15" w:type="dxa"/>
              <w:right w:w="15" w:type="dxa"/>
            </w:tcMar>
            <w:vAlign w:val="center"/>
            <w:hideMark/>
          </w:tcPr>
          <w:p w:rsidR="0058289F" w:rsidRDefault="0058289F">
            <w:pPr>
              <w:rPr>
                <w:sz w:val="8"/>
              </w:rPr>
            </w:pPr>
          </w:p>
        </w:tc>
      </w:tr>
      <w:tr w:rsidR="0058289F">
        <w:tc>
          <w:tcPr>
            <w:tcW w:w="5889" w:type="dxa"/>
            <w:gridSpan w:val="6"/>
            <w:tcMar>
              <w:top w:w="0" w:type="dxa"/>
              <w:left w:w="108" w:type="dxa"/>
              <w:bottom w:w="0" w:type="dxa"/>
              <w:right w:w="108" w:type="dxa"/>
            </w:tcMar>
            <w:hideMark/>
          </w:tcPr>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w:t>
            </w:r>
            <w:r>
              <w:rPr>
                <w:rFonts w:ascii="Times New Roman" w:eastAsia="Times New Roman" w:hAnsi="Times New Roman" w:cs="Times New Roman"/>
                <w:sz w:val="16"/>
                <w:szCs w:val="16"/>
                <w:u w:val="single"/>
              </w:rPr>
              <w:t>_____"</w:t>
            </w:r>
            <w:r>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u w:val="single"/>
              </w:rPr>
              <w:t xml:space="preserve">_________________ </w:t>
            </w:r>
            <w:r>
              <w:rPr>
                <w:rFonts w:ascii="Times New Roman" w:eastAsia="Times New Roman" w:hAnsi="Times New Roman" w:cs="Times New Roman"/>
                <w:sz w:val="16"/>
                <w:szCs w:val="16"/>
              </w:rPr>
              <w:t>20</w:t>
            </w:r>
            <w:r>
              <w:rPr>
                <w:rFonts w:ascii="Times New Roman" w:eastAsia="Times New Roman" w:hAnsi="Times New Roman" w:cs="Times New Roman"/>
                <w:sz w:val="16"/>
                <w:szCs w:val="16"/>
                <w:u w:val="single"/>
              </w:rPr>
              <w:t xml:space="preserve"> ____</w:t>
            </w:r>
            <w:r>
              <w:rPr>
                <w:rFonts w:ascii="Times New Roman" w:eastAsia="Times New Roman" w:hAnsi="Times New Roman" w:cs="Times New Roman"/>
                <w:sz w:val="16"/>
                <w:szCs w:val="16"/>
              </w:rPr>
              <w:t xml:space="preserve"> г.</w:t>
            </w:r>
          </w:p>
        </w:tc>
        <w:tc>
          <w:tcPr>
            <w:tcW w:w="3926" w:type="dxa"/>
            <w:gridSpan w:val="4"/>
            <w:tcMar>
              <w:top w:w="15" w:type="dxa"/>
              <w:left w:w="15" w:type="dxa"/>
              <w:bottom w:w="15" w:type="dxa"/>
              <w:right w:w="15" w:type="dxa"/>
            </w:tcMar>
            <w:vAlign w:val="center"/>
            <w:hideMark/>
          </w:tcPr>
          <w:p w:rsidR="0058289F" w:rsidRDefault="0058289F"/>
        </w:tc>
      </w:tr>
      <w:tr w:rsidR="0058289F">
        <w:tc>
          <w:tcPr>
            <w:tcW w:w="930" w:type="dxa"/>
            <w:tcBorders>
              <w:top w:val="nil"/>
              <w:left w:val="nil"/>
              <w:bottom w:val="nil"/>
              <w:right w:val="nil"/>
            </w:tcBorders>
            <w:vAlign w:val="center"/>
            <w:hideMark/>
          </w:tcPr>
          <w:p w:rsidR="0058289F" w:rsidRDefault="0058289F"/>
        </w:tc>
        <w:tc>
          <w:tcPr>
            <w:tcW w:w="2445" w:type="dxa"/>
            <w:tcBorders>
              <w:top w:val="nil"/>
              <w:left w:val="nil"/>
              <w:bottom w:val="nil"/>
              <w:right w:val="nil"/>
            </w:tcBorders>
            <w:vAlign w:val="center"/>
            <w:hideMark/>
          </w:tcPr>
          <w:p w:rsidR="0058289F" w:rsidRDefault="0058289F"/>
        </w:tc>
        <w:tc>
          <w:tcPr>
            <w:tcW w:w="225" w:type="dxa"/>
            <w:tcBorders>
              <w:top w:val="nil"/>
              <w:left w:val="nil"/>
              <w:bottom w:val="nil"/>
              <w:right w:val="nil"/>
            </w:tcBorders>
            <w:vAlign w:val="center"/>
            <w:hideMark/>
          </w:tcPr>
          <w:p w:rsidR="0058289F" w:rsidRDefault="0058289F"/>
        </w:tc>
        <w:tc>
          <w:tcPr>
            <w:tcW w:w="4305" w:type="dxa"/>
            <w:tcBorders>
              <w:top w:val="nil"/>
              <w:left w:val="nil"/>
              <w:bottom w:val="nil"/>
              <w:right w:val="nil"/>
            </w:tcBorders>
            <w:vAlign w:val="center"/>
            <w:hideMark/>
          </w:tcPr>
          <w:p w:rsidR="0058289F" w:rsidRDefault="0058289F"/>
        </w:tc>
        <w:tc>
          <w:tcPr>
            <w:tcW w:w="225" w:type="dxa"/>
            <w:tcBorders>
              <w:top w:val="nil"/>
              <w:left w:val="nil"/>
              <w:bottom w:val="nil"/>
              <w:right w:val="nil"/>
            </w:tcBorders>
            <w:vAlign w:val="center"/>
            <w:hideMark/>
          </w:tcPr>
          <w:p w:rsidR="0058289F" w:rsidRDefault="0058289F"/>
        </w:tc>
        <w:tc>
          <w:tcPr>
            <w:tcW w:w="645" w:type="dxa"/>
            <w:tcBorders>
              <w:top w:val="nil"/>
              <w:left w:val="nil"/>
              <w:bottom w:val="nil"/>
              <w:right w:val="nil"/>
            </w:tcBorders>
            <w:vAlign w:val="center"/>
            <w:hideMark/>
          </w:tcPr>
          <w:p w:rsidR="0058289F" w:rsidRDefault="0058289F"/>
        </w:tc>
        <w:tc>
          <w:tcPr>
            <w:tcW w:w="630" w:type="dxa"/>
            <w:tcBorders>
              <w:top w:val="nil"/>
              <w:left w:val="nil"/>
              <w:bottom w:val="nil"/>
              <w:right w:val="nil"/>
            </w:tcBorders>
            <w:vAlign w:val="center"/>
            <w:hideMark/>
          </w:tcPr>
          <w:p w:rsidR="0058289F" w:rsidRDefault="0058289F"/>
        </w:tc>
        <w:tc>
          <w:tcPr>
            <w:tcW w:w="525" w:type="dxa"/>
            <w:tcBorders>
              <w:top w:val="nil"/>
              <w:left w:val="nil"/>
              <w:bottom w:val="nil"/>
              <w:right w:val="nil"/>
            </w:tcBorders>
            <w:vAlign w:val="center"/>
            <w:hideMark/>
          </w:tcPr>
          <w:p w:rsidR="0058289F" w:rsidRDefault="0058289F"/>
        </w:tc>
        <w:tc>
          <w:tcPr>
            <w:tcW w:w="225" w:type="dxa"/>
            <w:tcBorders>
              <w:top w:val="nil"/>
              <w:left w:val="nil"/>
              <w:bottom w:val="nil"/>
              <w:right w:val="nil"/>
            </w:tcBorders>
            <w:vAlign w:val="center"/>
            <w:hideMark/>
          </w:tcPr>
          <w:p w:rsidR="0058289F" w:rsidRDefault="0058289F"/>
        </w:tc>
        <w:tc>
          <w:tcPr>
            <w:tcW w:w="1875" w:type="dxa"/>
            <w:tcBorders>
              <w:top w:val="nil"/>
              <w:left w:val="nil"/>
              <w:bottom w:val="nil"/>
              <w:right w:val="nil"/>
            </w:tcBorders>
            <w:vAlign w:val="center"/>
            <w:hideMark/>
          </w:tcPr>
          <w:p w:rsidR="0058289F" w:rsidRDefault="0058289F"/>
        </w:tc>
      </w:tr>
    </w:tbl>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 </w:t>
      </w:r>
    </w:p>
    <w:p w:rsidR="0058289F" w:rsidRDefault="000E21EF">
      <w:pPr>
        <w:rPr>
          <w:rFonts w:ascii="Times New Roman" w:eastAsia="Times New Roman" w:hAnsi="Times New Roman" w:cs="Times New Roman"/>
          <w:sz w:val="24"/>
        </w:rPr>
      </w:pPr>
      <w:r>
        <w:rPr>
          <w:rFonts w:ascii="Times New Roman" w:eastAsia="Times New Roman" w:hAnsi="Times New Roman" w:cs="Times New Roman"/>
          <w:sz w:val="16"/>
          <w:szCs w:val="16"/>
        </w:rPr>
        <w:t> </w:t>
      </w:r>
    </w:p>
    <w:p w:rsidR="0058289F" w:rsidRDefault="000E21EF">
      <w:r>
        <w:rPr>
          <w:rFonts w:ascii="Times New Roman" w:eastAsia="Times New Roman" w:hAnsi="Times New Roman" w:cs="Times New Roman"/>
          <w:sz w:val="16"/>
          <w:szCs w:val="16"/>
        </w:rPr>
        <w:t>Документ подписан электронной подписью. Дата представления 20.02.2026</w:t>
      </w:r>
      <w:r>
        <w:rPr>
          <w:rFonts w:ascii="Times New Roman" w:eastAsia="Times New Roman" w:hAnsi="Times New Roman" w:cs="Times New Roman"/>
          <w:sz w:val="16"/>
          <w:szCs w:val="16"/>
        </w:rPr>
        <w:br/>
        <w:t>Руководител</w:t>
      </w:r>
      <w:proofErr w:type="gramStart"/>
      <w:r>
        <w:rPr>
          <w:rFonts w:ascii="Times New Roman" w:eastAsia="Times New Roman" w:hAnsi="Times New Roman" w:cs="Times New Roman"/>
          <w:sz w:val="16"/>
          <w:szCs w:val="16"/>
        </w:rPr>
        <w:t>ь(</w:t>
      </w:r>
      <w:proofErr w:type="gramEnd"/>
      <w:r>
        <w:rPr>
          <w:rFonts w:ascii="Times New Roman" w:eastAsia="Times New Roman" w:hAnsi="Times New Roman" w:cs="Times New Roman"/>
          <w:sz w:val="16"/>
          <w:szCs w:val="16"/>
        </w:rPr>
        <w:t xml:space="preserve">Альшина Юлия Николаевна, Сертификат: 009474BDDF759BAF69C8682286BFC12D7F, Действителен: с 18.08.2025 по 11.11.2026), Главный бухгалтер(Аксенова Светлана Валерьевна, Сертификат: 00C5BD62F28597B73117F16DEDEA0D680E, Действителен: с 02.07.2025 по 25.09.2026) </w:t>
      </w:r>
    </w:p>
    <w:sectPr w:rsidR="0058289F" w:rsidSect="009D2D8C">
      <w:pgSz w:w="12240" w:h="15840"/>
      <w:pgMar w:top="1134" w:right="850" w:bottom="1134" w:left="1701"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DejaVu Sans">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CC"/>
    <w:family w:val="roman"/>
    <w:pitch w:val="variable"/>
    <w:sig w:usb0="E0002EFF" w:usb1="C000785B" w:usb2="00000009" w:usb3="00000000" w:csb0="000001FF" w:csb1="00000000"/>
  </w:font>
  <w:font w:name="DejaVu 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10"/>
  <w:displayHorizontalDrawingGridEvery w:val="2"/>
  <w:characterSpacingControl w:val="compressPunctuation"/>
  <w:compat>
    <w:useFELayout/>
  </w:compat>
  <w:rsids>
    <w:rsidRoot w:val="0058289F"/>
    <w:rsid w:val="000E21EF"/>
    <w:rsid w:val="0058289F"/>
    <w:rsid w:val="009D2D8C"/>
    <w:rsid w:val="00BE54C8"/>
  </w:rsids>
  <m:mathPr>
    <m:mathFont m:val="Cambria Math"/>
    <m:brkBin m:val="before"/>
    <m:brkBinSub m:val="--"/>
    <m:smallFrac m:val="off"/>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828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neNumber">
    <w:name w:val="Line Number"/>
    <w:basedOn w:val="a0"/>
    <w:semiHidden/>
    <w:rsid w:val="0058289F"/>
  </w:style>
  <w:style w:type="character" w:styleId="a3">
    <w:name w:val="Hyperlink"/>
    <w:rsid w:val="0058289F"/>
    <w:rPr>
      <w:color w:val="0000FF"/>
      <w:u w:val="single"/>
    </w:rPr>
  </w:style>
  <w:style w:type="table" w:styleId="1">
    <w:name w:val="Table Simple 1"/>
    <w:basedOn w:val="a1"/>
    <w:rsid w:val="005828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main?base=LAW;n=107750;fld=134;dst=1000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jaVu Sans"/>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26</Pages>
  <Words>8181</Words>
  <Characters>46632</Characters>
  <Application>Microsoft Office Word</Application>
  <DocSecurity>0</DocSecurity>
  <Lines>388</Lines>
  <Paragraphs>109</Paragraphs>
  <ScaleCrop>false</ScaleCrop>
  <Company>Администрация г.Сарова</Company>
  <LinksUpToDate>false</LinksUpToDate>
  <CharactersWithSpaces>54704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svod02/www-data</dc:creator>
  <cp:lastModifiedBy>Моисеева Н.Н.</cp:lastModifiedBy>
  <cp:revision>3</cp:revision>
  <dcterms:created xsi:type="dcterms:W3CDTF">2026-03-17T08:43:00Z</dcterms:created>
  <dcterms:modified xsi:type="dcterms:W3CDTF">2026-03-17T11:19:00Z</dcterms:modified>
</cp:coreProperties>
</file>